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1C9F" w14:textId="77777777" w:rsidR="00CA7CC9" w:rsidRDefault="00815449">
      <w:pPr>
        <w:spacing w:line="240" w:lineRule="auto"/>
        <w:jc w:val="center"/>
      </w:pP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  <w:t>OBRAZLOŽENJE FINANCIJSKOG PLANA CENTRA ZA RESTRUKTURIRANJE I PRODAJU ZA  2024. GODINU I PROJEKCIJA PLANA ZA 2025. I 2026. GODINU</w:t>
      </w:r>
      <w:r>
        <w:rPr>
          <w:rFonts w:ascii="Calibri" w:hAnsi="Calibri" w:cs="Calibri"/>
          <w:b/>
          <w:sz w:val="28"/>
        </w:rPr>
        <w:br w:type="page"/>
      </w:r>
    </w:p>
    <w:p w14:paraId="3862013D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UVOD</w:t>
      </w:r>
    </w:p>
    <w:p w14:paraId="22D65635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Centar za restrukturiranje i prodaju (u daljnjem tekstu: Centar) je pravna osoba s javnim ovlastima, osnovana Zakonom o upravljanju i raspolaganju imovinom u vlasništvu Republike Hrvatske (NN broj 94/13, 18/16 i 89/17 - Odluka Ustavnog suda Republike Hrvatske), a koji je nastavio s radom sukladno odredbama Zakona o upravljanju državnom imovinom (NN broj 52/18, u daljnjem tekstu: Zakon). Sukladno članku 23. Zakona Centar se financira iz vlastitih sredstava te iz drugih izvora, a sredstvima iz drugih izvora smatraju se:</w:t>
      </w:r>
    </w:p>
    <w:p w14:paraId="13B5E8F4" w14:textId="77777777" w:rsidR="00CA7CC9" w:rsidRDefault="00815449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naknade za upravljanje i raspolaganje dionicama/udjelima trgovačkih društava u vlasništvu Republike Hrvatske, kojima upravlja Centar,</w:t>
      </w:r>
    </w:p>
    <w:p w14:paraId="44B686DF" w14:textId="77777777" w:rsidR="00CA7CC9" w:rsidRDefault="00815449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naknade za upravljanje i raspolaganje dionicama/udjelima čiji je imatelj Hrvatski zavod za mirovinsko osiguranje, kojima upravlja Centar,</w:t>
      </w:r>
    </w:p>
    <w:p w14:paraId="2960F5A0" w14:textId="77777777" w:rsidR="00CA7CC9" w:rsidRDefault="00815449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donacije, krediti, sredstva međunarodne pomoći, sredstva iz instrumenata programa i fondova Europske unije i druga sredstva u skladu sa Zakonom.</w:t>
      </w:r>
    </w:p>
    <w:p w14:paraId="07BBC216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Primici od prodaje dionica/udjela u vlasništvu Republike Hrvatske, prihodi iz sredstava ostvarenih podjelom dobiti, odnosno ostatka stečajne ili likvidacijske mase društava čijih dionica/udjela je imatelj Republika Hrvatska, a kojima upravlja Centar, su primitak odnosno prihod državnog proračuna, osim ako Vlada Republike Hrvatske ne donese posebnu odluku da ti prihodi pripadaju Centru za podmirenje financijskih obveza. Uzimajući u obzir djelokrug rada Centra određen Zakonom, Centar ne može pouzdano planirati buduće prihode i primitke odnosno rashode i izdatke iz slijedećih razloga:</w:t>
      </w:r>
    </w:p>
    <w:p w14:paraId="491179FE" w14:textId="77777777" w:rsidR="00CA7CC9" w:rsidRDefault="00815449">
      <w:pPr>
        <w:numPr>
          <w:ilvl w:val="0"/>
          <w:numId w:val="2"/>
        </w:numPr>
        <w:spacing w:line="240" w:lineRule="auto"/>
        <w:jc w:val="both"/>
      </w:pPr>
      <w:r>
        <w:rPr>
          <w:rFonts w:ascii="Calibri" w:hAnsi="Calibri" w:cs="Calibri"/>
        </w:rPr>
        <w:t>na strani prihoda i primitaka ne može se utjecati na pozitivan ishod postupaka prodaje dionica/udjela trgovačkih društava iz državnog portfelja kojima upravlja Centar sukladno odredbama Zakona, kao niti na postojanje interesa potencijalnih investitora za kupnju dionica/udjela trgovačkih društava koja se nalaze u nadležnosti Centra, jer sama realizacija prodaje ne ovisi o Centru već o financijsko-ekonomskom položaju i atraktivnosti samog društva koje se prodaje, o trenutnoj ponudi i potražnji na tržištu, veličini portfelja koji se prodaje, stvarnom interesu potencijalnih investitora te drugim objektivnim razlozima na koje Centar nema utjecaja, a što je u direktnoj vezi s potencijalnim budućim prihodima i primicima,</w:t>
      </w:r>
    </w:p>
    <w:p w14:paraId="3E81E15C" w14:textId="77777777" w:rsidR="00CA7CC9" w:rsidRDefault="00815449">
      <w:pPr>
        <w:numPr>
          <w:ilvl w:val="0"/>
          <w:numId w:val="2"/>
        </w:numPr>
        <w:spacing w:line="240" w:lineRule="auto"/>
        <w:jc w:val="both"/>
      </w:pPr>
      <w:r>
        <w:rPr>
          <w:rFonts w:ascii="Calibri" w:hAnsi="Calibri" w:cs="Calibri"/>
        </w:rPr>
        <w:t>na strani rashoda i izdataka nije moguće predvidjeti dužinu trajanja pokrenutih sudskih sporova do njihove pravomoćnosti kao i drugih postupaka do njihovog okončanja, niti se može utjecati na ishod istih, a što je u direktnoj vezi s potencijalnim budućim rashodima i izdacima.</w:t>
      </w:r>
    </w:p>
    <w:p w14:paraId="17AF6954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PRIHODI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64C27419" w14:textId="77777777">
        <w:tc>
          <w:tcPr>
            <w:tcW w:w="980" w:type="pct"/>
            <w:shd w:val="clear" w:color="auto" w:fill="BCDFFB"/>
            <w:vAlign w:val="center"/>
          </w:tcPr>
          <w:p w14:paraId="3F688C5D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28DDA540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5A195D7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A22A60C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3E48E6B6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0DC7B17B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40F07B99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1AD4F482" w14:textId="77777777">
        <w:tc>
          <w:tcPr>
            <w:tcW w:w="980" w:type="pct"/>
            <w:vAlign w:val="center"/>
          </w:tcPr>
          <w:p w14:paraId="12ECC2EB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POSLOVANJA</w:t>
            </w:r>
          </w:p>
        </w:tc>
        <w:tc>
          <w:tcPr>
            <w:tcW w:w="690" w:type="pct"/>
            <w:vAlign w:val="bottom"/>
          </w:tcPr>
          <w:p w14:paraId="1FFE711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4.173.333</w:t>
            </w:r>
          </w:p>
        </w:tc>
        <w:tc>
          <w:tcPr>
            <w:tcW w:w="690" w:type="pct"/>
            <w:vAlign w:val="bottom"/>
          </w:tcPr>
          <w:p w14:paraId="7F44356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6.592.375</w:t>
            </w:r>
          </w:p>
        </w:tc>
        <w:tc>
          <w:tcPr>
            <w:tcW w:w="690" w:type="pct"/>
            <w:vAlign w:val="bottom"/>
          </w:tcPr>
          <w:p w14:paraId="76C25C6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4.514.000</w:t>
            </w:r>
          </w:p>
        </w:tc>
        <w:tc>
          <w:tcPr>
            <w:tcW w:w="690" w:type="pct"/>
            <w:vAlign w:val="bottom"/>
          </w:tcPr>
          <w:p w14:paraId="1960CCE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4.334.000</w:t>
            </w:r>
          </w:p>
        </w:tc>
        <w:tc>
          <w:tcPr>
            <w:tcW w:w="690" w:type="pct"/>
            <w:vAlign w:val="bottom"/>
          </w:tcPr>
          <w:p w14:paraId="31A1141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4.269.000</w:t>
            </w:r>
          </w:p>
        </w:tc>
        <w:tc>
          <w:tcPr>
            <w:tcW w:w="400" w:type="pct"/>
            <w:vAlign w:val="bottom"/>
          </w:tcPr>
          <w:p w14:paraId="0B8C278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68,5</w:t>
            </w:r>
          </w:p>
        </w:tc>
      </w:tr>
      <w:tr w:rsidR="00CA7CC9" w14:paraId="5AF7DBD9" w14:textId="77777777">
        <w:tc>
          <w:tcPr>
            <w:tcW w:w="980" w:type="pct"/>
            <w:vAlign w:val="center"/>
          </w:tcPr>
          <w:p w14:paraId="76B4D4DF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OD PRODAJE NEFINANCIJSKE IMOVINE</w:t>
            </w:r>
          </w:p>
        </w:tc>
        <w:tc>
          <w:tcPr>
            <w:tcW w:w="690" w:type="pct"/>
            <w:vAlign w:val="bottom"/>
          </w:tcPr>
          <w:p w14:paraId="1257715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31.907</w:t>
            </w:r>
          </w:p>
        </w:tc>
        <w:tc>
          <w:tcPr>
            <w:tcW w:w="690" w:type="pct"/>
            <w:vAlign w:val="bottom"/>
          </w:tcPr>
          <w:p w14:paraId="3FA2DF1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79.600</w:t>
            </w:r>
          </w:p>
        </w:tc>
        <w:tc>
          <w:tcPr>
            <w:tcW w:w="690" w:type="pct"/>
            <w:vAlign w:val="bottom"/>
          </w:tcPr>
          <w:p w14:paraId="6655EED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55.000</w:t>
            </w:r>
          </w:p>
        </w:tc>
        <w:tc>
          <w:tcPr>
            <w:tcW w:w="690" w:type="pct"/>
            <w:vAlign w:val="bottom"/>
          </w:tcPr>
          <w:p w14:paraId="09B98F3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57.000</w:t>
            </w:r>
          </w:p>
        </w:tc>
        <w:tc>
          <w:tcPr>
            <w:tcW w:w="690" w:type="pct"/>
            <w:vAlign w:val="bottom"/>
          </w:tcPr>
          <w:p w14:paraId="2EB91A2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45.000</w:t>
            </w:r>
          </w:p>
        </w:tc>
        <w:tc>
          <w:tcPr>
            <w:tcW w:w="400" w:type="pct"/>
            <w:vAlign w:val="bottom"/>
          </w:tcPr>
          <w:p w14:paraId="0E2C77A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69,1</w:t>
            </w:r>
          </w:p>
        </w:tc>
      </w:tr>
      <w:tr w:rsidR="00CA7CC9" w14:paraId="5B96127D" w14:textId="77777777">
        <w:tc>
          <w:tcPr>
            <w:tcW w:w="980" w:type="pct"/>
            <w:vAlign w:val="bottom"/>
          </w:tcPr>
          <w:p w14:paraId="71B9EFEB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PRIHODI</w:t>
            </w:r>
          </w:p>
        </w:tc>
        <w:tc>
          <w:tcPr>
            <w:tcW w:w="690" w:type="pct"/>
            <w:vAlign w:val="bottom"/>
          </w:tcPr>
          <w:p w14:paraId="0535ED4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4.205.240</w:t>
            </w:r>
          </w:p>
        </w:tc>
        <w:tc>
          <w:tcPr>
            <w:tcW w:w="690" w:type="pct"/>
            <w:vAlign w:val="bottom"/>
          </w:tcPr>
          <w:p w14:paraId="00DC8DA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6.671.975</w:t>
            </w:r>
          </w:p>
        </w:tc>
        <w:tc>
          <w:tcPr>
            <w:tcW w:w="690" w:type="pct"/>
            <w:vAlign w:val="bottom"/>
          </w:tcPr>
          <w:p w14:paraId="2832A60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4.569.000</w:t>
            </w:r>
          </w:p>
        </w:tc>
        <w:tc>
          <w:tcPr>
            <w:tcW w:w="690" w:type="pct"/>
            <w:vAlign w:val="bottom"/>
          </w:tcPr>
          <w:p w14:paraId="3A18C93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4.391.000</w:t>
            </w:r>
          </w:p>
        </w:tc>
        <w:tc>
          <w:tcPr>
            <w:tcW w:w="690" w:type="pct"/>
            <w:vAlign w:val="bottom"/>
          </w:tcPr>
          <w:p w14:paraId="63EB2FE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4.314.000</w:t>
            </w:r>
          </w:p>
        </w:tc>
        <w:tc>
          <w:tcPr>
            <w:tcW w:w="400" w:type="pct"/>
            <w:vAlign w:val="bottom"/>
          </w:tcPr>
          <w:p w14:paraId="509ABEC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68,5</w:t>
            </w:r>
          </w:p>
        </w:tc>
      </w:tr>
    </w:tbl>
    <w:p w14:paraId="27502DB6" w14:textId="77777777" w:rsidR="00CA7CC9" w:rsidRDefault="00CA7CC9">
      <w:pPr>
        <w:spacing w:after="0" w:line="240" w:lineRule="auto"/>
      </w:pPr>
    </w:p>
    <w:p w14:paraId="49F672F6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PRIHODI POSLOVANJA</w:t>
      </w:r>
    </w:p>
    <w:p w14:paraId="0EA52B06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 prihodi poslovanja za 2024. godinu iznose 4.514.000 eura i odnose se na slijedeće planirane prihode:</w:t>
      </w:r>
    </w:p>
    <w:p w14:paraId="71704EFB" w14:textId="77777777" w:rsidR="00CA7CC9" w:rsidRDefault="00815449">
      <w:pPr>
        <w:numPr>
          <w:ilvl w:val="0"/>
          <w:numId w:val="3"/>
        </w:numPr>
        <w:spacing w:line="240" w:lineRule="auto"/>
        <w:jc w:val="both"/>
      </w:pPr>
      <w:r>
        <w:rPr>
          <w:rFonts w:ascii="Calibri" w:hAnsi="Calibri" w:cs="Calibri"/>
          <w:b/>
        </w:rPr>
        <w:lastRenderedPageBreak/>
        <w:t>Prihode od imovine</w:t>
      </w:r>
      <w:r>
        <w:rPr>
          <w:rFonts w:ascii="Calibri" w:hAnsi="Calibri" w:cs="Calibri"/>
        </w:rPr>
        <w:t> u iznosu od 3.435.000 eura, odnose se na prihode od financijske imovine u iznosu od 3.285.000 eura (prihodi od kamata na oročena sredstva i depozite po viđenju, prihodi od zateznih kamata, prihode od dividendi, te ostale prihode od financijske imovine), zatim na prihode od nefinancijske imovine u iznosu od 60.000 eura (prihodi od zakupa poslovnih prostora i najma stanova u vlasništvu RH, a koji su bili na upravljanju u pravnim prednicima Centra) te na prihode od kamata na dane zajmove u iznosu od 90.000 eura (prihodi od kamata po ranije danim zajmovima te sklopljenim predstečajnim nagodbama i stečajnim postupcima),</w:t>
      </w:r>
    </w:p>
    <w:p w14:paraId="7C92F029" w14:textId="77777777" w:rsidR="00CA7CC9" w:rsidRDefault="00815449">
      <w:pPr>
        <w:numPr>
          <w:ilvl w:val="0"/>
          <w:numId w:val="3"/>
        </w:numPr>
        <w:spacing w:line="240" w:lineRule="auto"/>
        <w:jc w:val="both"/>
      </w:pPr>
      <w:r>
        <w:rPr>
          <w:rFonts w:ascii="Calibri" w:hAnsi="Calibri" w:cs="Calibri"/>
          <w:b/>
        </w:rPr>
        <w:t>Prihode od upravnih i administrativnih pristojbi, pristojbi po posebnim propisima i naknada</w:t>
      </w:r>
      <w:r>
        <w:rPr>
          <w:rFonts w:ascii="Calibri" w:hAnsi="Calibri" w:cs="Calibri"/>
        </w:rPr>
        <w:t xml:space="preserve"> u iznosu od 4.000 eura,</w:t>
      </w:r>
    </w:p>
    <w:p w14:paraId="2C145433" w14:textId="77777777" w:rsidR="00CA7CC9" w:rsidRDefault="00815449">
      <w:pPr>
        <w:numPr>
          <w:ilvl w:val="0"/>
          <w:numId w:val="3"/>
        </w:numPr>
        <w:spacing w:line="240" w:lineRule="auto"/>
        <w:jc w:val="both"/>
      </w:pPr>
      <w:r>
        <w:rPr>
          <w:rFonts w:ascii="Calibri" w:hAnsi="Calibri" w:cs="Calibri"/>
          <w:b/>
        </w:rPr>
        <w:t>Prihode od prodaje proizvoda i robe te pruženih usluga i prihodi od donacija</w:t>
      </w:r>
      <w:r>
        <w:rPr>
          <w:rFonts w:ascii="Calibri" w:hAnsi="Calibri" w:cs="Calibri"/>
        </w:rPr>
        <w:t> u iznosu od 825.000 eura, odnose se na planirane prihode od naknade u iznosu od 6% za prodaju dionica/udjela iz portfelja RH i HZMO-a sukladno odredbama Odluke o visini naknade za upravljanje i raspolaganje dionicama i udjelima kojima upravlja Centar za restrukturiranje i prodaju (NN 39/2019, dalje u tekstu: Odluka) te na planirane prihode od naknade u iznosu od 3% za isplaćenu dividendu trgovačkih društava iz portfelja RH i HZMO-a sukladno odredbama Odluke, na planirane prihode od izdanih ponudbenih dokumentacija za prodaju dionica/udjela društava, na planirane prihode od izdanih iskaza nekretnina i sl.,</w:t>
      </w:r>
    </w:p>
    <w:p w14:paraId="22EEF362" w14:textId="77777777" w:rsidR="00CA7CC9" w:rsidRDefault="00815449">
      <w:pPr>
        <w:numPr>
          <w:ilvl w:val="0"/>
          <w:numId w:val="3"/>
        </w:numPr>
        <w:spacing w:line="240" w:lineRule="auto"/>
        <w:jc w:val="both"/>
      </w:pPr>
      <w:r>
        <w:rPr>
          <w:rFonts w:ascii="Calibri" w:hAnsi="Calibri" w:cs="Calibri"/>
          <w:b/>
        </w:rPr>
        <w:t>Kazne, upravne mjere i ostale prihode</w:t>
      </w:r>
      <w:r>
        <w:rPr>
          <w:rFonts w:ascii="Calibri" w:hAnsi="Calibri" w:cs="Calibri"/>
        </w:rPr>
        <w:t xml:space="preserve"> u iznosu od 250.000 eura, odnose se na planirane prihode po sudskim nagodbama, planirane prihode od nadoknade parničnih troškova te planirane prihode od </w:t>
      </w:r>
      <w:proofErr w:type="spellStart"/>
      <w:r>
        <w:rPr>
          <w:rFonts w:ascii="Calibri" w:hAnsi="Calibri" w:cs="Calibri"/>
        </w:rPr>
        <w:t>prefakturiranih</w:t>
      </w:r>
      <w:proofErr w:type="spellEnd"/>
      <w:r>
        <w:rPr>
          <w:rFonts w:ascii="Calibri" w:hAnsi="Calibri" w:cs="Calibri"/>
        </w:rPr>
        <w:t xml:space="preserve"> režijskih troškova sukladno Sporazumu o raspodjeli i načinu plaćanja troškova nekretnine u Zagrebu, Ivana Lučića 6-8 sklopljenog 25.07.2017. godine.</w:t>
      </w:r>
    </w:p>
    <w:p w14:paraId="43FBBBA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prihodi poslovanja za 2024. godinu u odnosu na planirane prihode poslovanja za 2023. godinu manji su za iznos od 2.078.375 eura, tj. za 31,53%, iz razloga što se u 2024. godini očekuje manja realizacija prodaje dionica/udjela trgovačkih društava iz portfelja RH i HZMO-a, a time i manji prihod Centra od naknada sukladno Odluci.</w:t>
      </w:r>
    </w:p>
    <w:p w14:paraId="2B5C148C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PRIHODI OD PRODAJE NEFINANCIJSKE IMOVINE</w:t>
      </w:r>
    </w:p>
    <w:p w14:paraId="068D0EE3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prihodi od prodaje nefinancijske imovine za 2024. godinu iznose 55.000 eura i odnose se na sljedeće planirane prihode:</w:t>
      </w:r>
    </w:p>
    <w:p w14:paraId="6C80CDA3" w14:textId="77777777" w:rsidR="00CA7CC9" w:rsidRDefault="00815449">
      <w:pPr>
        <w:numPr>
          <w:ilvl w:val="0"/>
          <w:numId w:val="4"/>
        </w:numPr>
        <w:spacing w:line="240" w:lineRule="auto"/>
        <w:jc w:val="both"/>
      </w:pPr>
      <w:r>
        <w:rPr>
          <w:rFonts w:ascii="Calibri" w:hAnsi="Calibri" w:cs="Calibri"/>
          <w:b/>
        </w:rPr>
        <w:t xml:space="preserve">Prihode od prodaje </w:t>
      </w:r>
      <w:proofErr w:type="spellStart"/>
      <w:r>
        <w:rPr>
          <w:rFonts w:ascii="Calibri" w:hAnsi="Calibri" w:cs="Calibri"/>
          <w:b/>
        </w:rPr>
        <w:t>neproizvedene</w:t>
      </w:r>
      <w:proofErr w:type="spellEnd"/>
      <w:r>
        <w:rPr>
          <w:rFonts w:ascii="Calibri" w:hAnsi="Calibri" w:cs="Calibri"/>
          <w:b/>
        </w:rPr>
        <w:t xml:space="preserve"> dugotrajne imovine </w:t>
      </w:r>
      <w:r>
        <w:rPr>
          <w:rFonts w:ascii="Calibri" w:hAnsi="Calibri" w:cs="Calibri"/>
        </w:rPr>
        <w:t>u iznosu od 20.000 eura, odnose se na prihode od prodaje nekretnina u vlasništvu Centra,</w:t>
      </w:r>
    </w:p>
    <w:p w14:paraId="245DE8BE" w14:textId="77777777" w:rsidR="00CA7CC9" w:rsidRDefault="00815449">
      <w:pPr>
        <w:numPr>
          <w:ilvl w:val="0"/>
          <w:numId w:val="4"/>
        </w:numPr>
        <w:spacing w:line="240" w:lineRule="auto"/>
        <w:jc w:val="both"/>
      </w:pPr>
      <w:r>
        <w:rPr>
          <w:rFonts w:ascii="Calibri" w:hAnsi="Calibri" w:cs="Calibri"/>
          <w:b/>
        </w:rPr>
        <w:t>Prihode od prodaje proizvedene dugotrajne imovine</w:t>
      </w:r>
      <w:r>
        <w:rPr>
          <w:rFonts w:ascii="Calibri" w:hAnsi="Calibri" w:cs="Calibri"/>
        </w:rPr>
        <w:t> u iznosu od 35.000 eura, odnose se na prihode od prodanih stambenih i poslovnih objekata.</w:t>
      </w:r>
    </w:p>
    <w:p w14:paraId="41B684A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prihod od prodaje nefinancijske imovine za 2024. godinu u odnosu na planirane prihode od prodaje nefinancijske imovine za 2023. godinu manji su za iznos od 24.600 eura tj. za 30,90% iz razloga što se u 2024. godini očekuje manja realizacija prodaje nekretnina u vlasništvu Centra.</w:t>
      </w:r>
    </w:p>
    <w:p w14:paraId="120D083E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RASHODI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1F836904" w14:textId="77777777">
        <w:tc>
          <w:tcPr>
            <w:tcW w:w="980" w:type="pct"/>
            <w:shd w:val="clear" w:color="auto" w:fill="BCDFFB"/>
            <w:vAlign w:val="center"/>
          </w:tcPr>
          <w:p w14:paraId="1901DDC3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77A52DE5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6DEA2E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761C435E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355169FB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0F5B8D5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4649FD33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0BDC264D" w14:textId="77777777">
        <w:tc>
          <w:tcPr>
            <w:tcW w:w="980" w:type="pct"/>
            <w:vAlign w:val="center"/>
          </w:tcPr>
          <w:p w14:paraId="0F608FFA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POSLOVANJA</w:t>
            </w:r>
          </w:p>
        </w:tc>
        <w:tc>
          <w:tcPr>
            <w:tcW w:w="690" w:type="pct"/>
            <w:vAlign w:val="bottom"/>
          </w:tcPr>
          <w:p w14:paraId="0680354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2.840.002</w:t>
            </w:r>
          </w:p>
        </w:tc>
        <w:tc>
          <w:tcPr>
            <w:tcW w:w="690" w:type="pct"/>
            <w:vAlign w:val="bottom"/>
          </w:tcPr>
          <w:p w14:paraId="7F8894E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8.409.875</w:t>
            </w:r>
          </w:p>
        </w:tc>
        <w:tc>
          <w:tcPr>
            <w:tcW w:w="690" w:type="pct"/>
            <w:vAlign w:val="bottom"/>
          </w:tcPr>
          <w:p w14:paraId="35C5068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7.752.000</w:t>
            </w:r>
          </w:p>
        </w:tc>
        <w:tc>
          <w:tcPr>
            <w:tcW w:w="690" w:type="pct"/>
            <w:vAlign w:val="bottom"/>
          </w:tcPr>
          <w:p w14:paraId="62996F0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7.559.000</w:t>
            </w:r>
          </w:p>
        </w:tc>
        <w:tc>
          <w:tcPr>
            <w:tcW w:w="690" w:type="pct"/>
            <w:vAlign w:val="bottom"/>
          </w:tcPr>
          <w:p w14:paraId="3345E3B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6.937.000</w:t>
            </w:r>
          </w:p>
        </w:tc>
        <w:tc>
          <w:tcPr>
            <w:tcW w:w="400" w:type="pct"/>
            <w:vAlign w:val="bottom"/>
          </w:tcPr>
          <w:p w14:paraId="1B3CF05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92,2</w:t>
            </w:r>
          </w:p>
        </w:tc>
      </w:tr>
      <w:tr w:rsidR="00CA7CC9" w14:paraId="489920FE" w14:textId="77777777">
        <w:tc>
          <w:tcPr>
            <w:tcW w:w="980" w:type="pct"/>
            <w:vAlign w:val="center"/>
          </w:tcPr>
          <w:p w14:paraId="17B60768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ZA NABAVU NEFINANCIJSKE IMOVINE</w:t>
            </w:r>
          </w:p>
        </w:tc>
        <w:tc>
          <w:tcPr>
            <w:tcW w:w="690" w:type="pct"/>
            <w:vAlign w:val="bottom"/>
          </w:tcPr>
          <w:p w14:paraId="3D46D36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120.325</w:t>
            </w:r>
          </w:p>
        </w:tc>
        <w:tc>
          <w:tcPr>
            <w:tcW w:w="690" w:type="pct"/>
            <w:vAlign w:val="bottom"/>
          </w:tcPr>
          <w:p w14:paraId="612A1B1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216.400</w:t>
            </w:r>
          </w:p>
        </w:tc>
        <w:tc>
          <w:tcPr>
            <w:tcW w:w="690" w:type="pct"/>
            <w:vAlign w:val="bottom"/>
          </w:tcPr>
          <w:p w14:paraId="275D61E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216.000</w:t>
            </w:r>
          </w:p>
        </w:tc>
        <w:tc>
          <w:tcPr>
            <w:tcW w:w="690" w:type="pct"/>
            <w:vAlign w:val="bottom"/>
          </w:tcPr>
          <w:p w14:paraId="44817EA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256.000</w:t>
            </w:r>
          </w:p>
        </w:tc>
        <w:tc>
          <w:tcPr>
            <w:tcW w:w="690" w:type="pct"/>
            <w:vAlign w:val="bottom"/>
          </w:tcPr>
          <w:p w14:paraId="36E4E58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216.000</w:t>
            </w:r>
          </w:p>
        </w:tc>
        <w:tc>
          <w:tcPr>
            <w:tcW w:w="400" w:type="pct"/>
            <w:vAlign w:val="bottom"/>
          </w:tcPr>
          <w:p w14:paraId="06460E2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99,8</w:t>
            </w:r>
          </w:p>
        </w:tc>
      </w:tr>
      <w:tr w:rsidR="00CA7CC9" w14:paraId="03F939B2" w14:textId="77777777">
        <w:tc>
          <w:tcPr>
            <w:tcW w:w="980" w:type="pct"/>
            <w:vAlign w:val="bottom"/>
          </w:tcPr>
          <w:p w14:paraId="359386AB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RASHODI</w:t>
            </w:r>
          </w:p>
        </w:tc>
        <w:tc>
          <w:tcPr>
            <w:tcW w:w="690" w:type="pct"/>
            <w:vAlign w:val="bottom"/>
          </w:tcPr>
          <w:p w14:paraId="77A2122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2.960.326</w:t>
            </w:r>
          </w:p>
        </w:tc>
        <w:tc>
          <w:tcPr>
            <w:tcW w:w="690" w:type="pct"/>
            <w:vAlign w:val="bottom"/>
          </w:tcPr>
          <w:p w14:paraId="1F9F5FA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8.626.275</w:t>
            </w:r>
          </w:p>
        </w:tc>
        <w:tc>
          <w:tcPr>
            <w:tcW w:w="690" w:type="pct"/>
            <w:vAlign w:val="bottom"/>
          </w:tcPr>
          <w:p w14:paraId="40262CE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7.968.000</w:t>
            </w:r>
          </w:p>
        </w:tc>
        <w:tc>
          <w:tcPr>
            <w:tcW w:w="690" w:type="pct"/>
            <w:vAlign w:val="bottom"/>
          </w:tcPr>
          <w:p w14:paraId="1395E84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7.815.000</w:t>
            </w:r>
          </w:p>
        </w:tc>
        <w:tc>
          <w:tcPr>
            <w:tcW w:w="690" w:type="pct"/>
            <w:vAlign w:val="bottom"/>
          </w:tcPr>
          <w:p w14:paraId="78FC820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7.153.000</w:t>
            </w:r>
          </w:p>
        </w:tc>
        <w:tc>
          <w:tcPr>
            <w:tcW w:w="400" w:type="pct"/>
            <w:vAlign w:val="bottom"/>
          </w:tcPr>
          <w:p w14:paraId="0A15DE2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92,4</w:t>
            </w:r>
          </w:p>
        </w:tc>
      </w:tr>
    </w:tbl>
    <w:p w14:paraId="0B2710DF" w14:textId="77777777" w:rsidR="00CA7CC9" w:rsidRDefault="00CA7CC9">
      <w:pPr>
        <w:spacing w:after="0" w:line="240" w:lineRule="auto"/>
      </w:pPr>
    </w:p>
    <w:p w14:paraId="74BEFF1E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lastRenderedPageBreak/>
        <w:t>RASHODI POSLOVANJA</w:t>
      </w:r>
    </w:p>
    <w:p w14:paraId="5E4E265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rashodi poslovanja za 2024. godinu iznose 7.752.000 eura i odnose se na slijedeće planirane rashode:</w:t>
      </w:r>
    </w:p>
    <w:p w14:paraId="7722E9BE" w14:textId="77777777" w:rsidR="00CA7CC9" w:rsidRDefault="00815449">
      <w:pPr>
        <w:numPr>
          <w:ilvl w:val="0"/>
          <w:numId w:val="5"/>
        </w:numPr>
        <w:spacing w:line="240" w:lineRule="auto"/>
        <w:jc w:val="both"/>
      </w:pPr>
      <w:r>
        <w:rPr>
          <w:rFonts w:ascii="Calibri" w:hAnsi="Calibri" w:cs="Calibri"/>
          <w:b/>
        </w:rPr>
        <w:t>Rashode za zaposlene</w:t>
      </w:r>
      <w:r>
        <w:rPr>
          <w:rFonts w:ascii="Calibri" w:hAnsi="Calibri" w:cs="Calibri"/>
        </w:rPr>
        <w:t> u iznosu od 2.520.000 eura, odnose se na planirani iznos bruto plaća i doprinosa te na isplate jubilarnih nagrada, pomoći i slično,</w:t>
      </w:r>
    </w:p>
    <w:p w14:paraId="116E190F" w14:textId="77777777" w:rsidR="00CA7CC9" w:rsidRDefault="00815449">
      <w:pPr>
        <w:numPr>
          <w:ilvl w:val="0"/>
          <w:numId w:val="5"/>
        </w:numPr>
        <w:spacing w:line="240" w:lineRule="auto"/>
        <w:jc w:val="both"/>
      </w:pPr>
      <w:r>
        <w:rPr>
          <w:rFonts w:ascii="Calibri" w:hAnsi="Calibri" w:cs="Calibri"/>
          <w:b/>
        </w:rPr>
        <w:t>Materijalne rashode</w:t>
      </w:r>
      <w:r>
        <w:rPr>
          <w:rFonts w:ascii="Calibri" w:hAnsi="Calibri" w:cs="Calibri"/>
        </w:rPr>
        <w:t> u iznosu 3.411.000 eura, odnose se na planirane rashode za usluge, naknade troškova zaposlenima, rashode za materijal i energiju, naknade troškova osobama izvan radnog odnosa i ostale nespomenute rashode poslovanja. Navedeni rashodi u najvećoj mjeri odnose se na troškove sudskih postupaka koji su planirani u iznosu od 1.800.000 eura,</w:t>
      </w:r>
    </w:p>
    <w:p w14:paraId="47C411D1" w14:textId="77777777" w:rsidR="00CA7CC9" w:rsidRDefault="00815449">
      <w:pPr>
        <w:numPr>
          <w:ilvl w:val="0"/>
          <w:numId w:val="5"/>
        </w:numPr>
        <w:spacing w:line="240" w:lineRule="auto"/>
        <w:jc w:val="both"/>
      </w:pPr>
      <w:r>
        <w:rPr>
          <w:rFonts w:ascii="Calibri" w:hAnsi="Calibri" w:cs="Calibri"/>
          <w:b/>
        </w:rPr>
        <w:t>Financijske rashode</w:t>
      </w:r>
      <w:r>
        <w:rPr>
          <w:rFonts w:ascii="Calibri" w:hAnsi="Calibri" w:cs="Calibri"/>
        </w:rPr>
        <w:t> u iznosu od 1.819.000 eura u najvećoj mjeri odnose se na očekivane zatezne kamate po sudskim sporovima te na bankarske usluge i usluge platnog prometa;</w:t>
      </w:r>
    </w:p>
    <w:p w14:paraId="47EC4FB3" w14:textId="77777777" w:rsidR="00CA7CC9" w:rsidRDefault="00815449">
      <w:pPr>
        <w:numPr>
          <w:ilvl w:val="0"/>
          <w:numId w:val="5"/>
        </w:numPr>
        <w:spacing w:line="240" w:lineRule="auto"/>
        <w:jc w:val="both"/>
      </w:pPr>
      <w:r>
        <w:rPr>
          <w:rFonts w:ascii="Calibri" w:hAnsi="Calibri" w:cs="Calibri"/>
          <w:b/>
        </w:rPr>
        <w:t>Ostale rashode</w:t>
      </w:r>
      <w:r>
        <w:rPr>
          <w:rFonts w:ascii="Calibri" w:hAnsi="Calibri" w:cs="Calibri"/>
        </w:rPr>
        <w:t> u iznosu 2.000 eura.</w:t>
      </w:r>
    </w:p>
    <w:p w14:paraId="4FBA5886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rashodi poslovanja za 2024. godinu u odnosu na planirane rashode poslovanja za 2023. godinu manji su za iznos od 657.875 eura, tj. za 7,82% iz razloga što se u 2023. godini očekuju manji rashodi po osnovi zateznih kamata za dugotrajne sudske postupke. </w:t>
      </w:r>
    </w:p>
    <w:p w14:paraId="3AE2E5F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RASHODI ZA NABAVU NEFINANCIJSKE IMOVINE</w:t>
      </w:r>
    </w:p>
    <w:p w14:paraId="2D9E2EE5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rashodi za nabavu nefinancijske imovine za 2024. godinu iznose 216.000 eura i odnose se na sljedeće planirane rashode za nabavu nefinancijske imovine:</w:t>
      </w:r>
    </w:p>
    <w:p w14:paraId="2879D711" w14:textId="77777777" w:rsidR="00CA7CC9" w:rsidRDefault="00815449">
      <w:pPr>
        <w:numPr>
          <w:ilvl w:val="0"/>
          <w:numId w:val="6"/>
        </w:numPr>
        <w:spacing w:line="240" w:lineRule="auto"/>
        <w:jc w:val="both"/>
      </w:pPr>
      <w:r>
        <w:rPr>
          <w:rFonts w:ascii="Calibri" w:hAnsi="Calibri" w:cs="Calibri"/>
          <w:b/>
        </w:rPr>
        <w:t xml:space="preserve">Rashodi za nabavu </w:t>
      </w:r>
      <w:proofErr w:type="spellStart"/>
      <w:r>
        <w:rPr>
          <w:rFonts w:ascii="Calibri" w:hAnsi="Calibri" w:cs="Calibri"/>
          <w:b/>
        </w:rPr>
        <w:t>neproizvedene</w:t>
      </w:r>
      <w:proofErr w:type="spellEnd"/>
      <w:r>
        <w:rPr>
          <w:rFonts w:ascii="Calibri" w:hAnsi="Calibri" w:cs="Calibri"/>
          <w:b/>
        </w:rPr>
        <w:t xml:space="preserve"> dugotrajne imovine</w:t>
      </w:r>
      <w:r>
        <w:rPr>
          <w:rFonts w:ascii="Calibri" w:hAnsi="Calibri" w:cs="Calibri"/>
        </w:rPr>
        <w:t> u iznosu od 30.000 eura, odnose se na nabavu licenci za računalne programe,</w:t>
      </w:r>
    </w:p>
    <w:p w14:paraId="653C72C7" w14:textId="77777777" w:rsidR="00CA7CC9" w:rsidRDefault="00815449">
      <w:pPr>
        <w:numPr>
          <w:ilvl w:val="0"/>
          <w:numId w:val="6"/>
        </w:numPr>
        <w:spacing w:line="240" w:lineRule="auto"/>
        <w:jc w:val="both"/>
      </w:pPr>
      <w:r>
        <w:rPr>
          <w:rFonts w:ascii="Calibri" w:hAnsi="Calibri" w:cs="Calibri"/>
          <w:b/>
        </w:rPr>
        <w:t>Rashodi za nabavu proizvedene dugotrajne imovine</w:t>
      </w:r>
      <w:r>
        <w:rPr>
          <w:rFonts w:ascii="Calibri" w:hAnsi="Calibri" w:cs="Calibri"/>
        </w:rPr>
        <w:t> u iznosu od 186.000 eura, odnose se na postrojenja i opremu u iznosu od 160.000 eura (računala i uredska opreme, komunikacijska oprema, oprema za održavanje i zaštitu te na nabavu uređaja, strojeva i opreme za ostale namjene, i na nematerijalnu proizvedenu imovinu u iznosu od 26.000 eura (ulaganja u računalne programe).</w:t>
      </w:r>
    </w:p>
    <w:p w14:paraId="5B0C20B2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rashodi za nabavu nefinancijske imovine za 2024. godinu u odnosu na planirane rashode za nabavu nefinancijske imovine za 2023. godinu manji su za iznos od 400 eura, tj. za 0,18%. </w:t>
      </w:r>
    </w:p>
    <w:p w14:paraId="7B4F35C9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UKUPNI VIŠAK/MANJAK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16EB2CB7" w14:textId="77777777">
        <w:tc>
          <w:tcPr>
            <w:tcW w:w="980" w:type="pct"/>
            <w:shd w:val="clear" w:color="auto" w:fill="BCDFFB"/>
            <w:vAlign w:val="center"/>
          </w:tcPr>
          <w:p w14:paraId="28CF5A28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35C2670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7DF66D39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71C9181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4AAD47D3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74A94908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1D63C0E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5E149E2C" w14:textId="77777777">
        <w:tc>
          <w:tcPr>
            <w:tcW w:w="980" w:type="pct"/>
            <w:vAlign w:val="center"/>
          </w:tcPr>
          <w:p w14:paraId="571F2C11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PRIHODI</w:t>
            </w:r>
          </w:p>
        </w:tc>
        <w:tc>
          <w:tcPr>
            <w:tcW w:w="690" w:type="pct"/>
            <w:vAlign w:val="bottom"/>
          </w:tcPr>
          <w:p w14:paraId="61EA5BD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4.205.240</w:t>
            </w:r>
          </w:p>
        </w:tc>
        <w:tc>
          <w:tcPr>
            <w:tcW w:w="690" w:type="pct"/>
            <w:vAlign w:val="bottom"/>
          </w:tcPr>
          <w:p w14:paraId="76D34FB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6.671.975</w:t>
            </w:r>
          </w:p>
        </w:tc>
        <w:tc>
          <w:tcPr>
            <w:tcW w:w="690" w:type="pct"/>
            <w:vAlign w:val="bottom"/>
          </w:tcPr>
          <w:p w14:paraId="23A68AF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4.569.000</w:t>
            </w:r>
          </w:p>
        </w:tc>
        <w:tc>
          <w:tcPr>
            <w:tcW w:w="690" w:type="pct"/>
            <w:vAlign w:val="bottom"/>
          </w:tcPr>
          <w:p w14:paraId="472E952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4.391.000</w:t>
            </w:r>
          </w:p>
        </w:tc>
        <w:tc>
          <w:tcPr>
            <w:tcW w:w="690" w:type="pct"/>
            <w:vAlign w:val="bottom"/>
          </w:tcPr>
          <w:p w14:paraId="611BD39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4.314.000</w:t>
            </w:r>
          </w:p>
        </w:tc>
        <w:tc>
          <w:tcPr>
            <w:tcW w:w="400" w:type="pct"/>
            <w:vAlign w:val="bottom"/>
          </w:tcPr>
          <w:p w14:paraId="03909E4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68,5</w:t>
            </w:r>
          </w:p>
        </w:tc>
      </w:tr>
      <w:tr w:rsidR="00CA7CC9" w14:paraId="42323E89" w14:textId="77777777">
        <w:tc>
          <w:tcPr>
            <w:tcW w:w="980" w:type="pct"/>
            <w:vAlign w:val="center"/>
          </w:tcPr>
          <w:p w14:paraId="5804E768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RASHODI</w:t>
            </w:r>
          </w:p>
        </w:tc>
        <w:tc>
          <w:tcPr>
            <w:tcW w:w="690" w:type="pct"/>
            <w:vAlign w:val="bottom"/>
          </w:tcPr>
          <w:p w14:paraId="4F2E706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2.960.326</w:t>
            </w:r>
          </w:p>
        </w:tc>
        <w:tc>
          <w:tcPr>
            <w:tcW w:w="690" w:type="pct"/>
            <w:vAlign w:val="bottom"/>
          </w:tcPr>
          <w:p w14:paraId="439BD1C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8.626.275</w:t>
            </w:r>
          </w:p>
        </w:tc>
        <w:tc>
          <w:tcPr>
            <w:tcW w:w="690" w:type="pct"/>
            <w:vAlign w:val="bottom"/>
          </w:tcPr>
          <w:p w14:paraId="4BCC74E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7.968.000</w:t>
            </w:r>
          </w:p>
        </w:tc>
        <w:tc>
          <w:tcPr>
            <w:tcW w:w="690" w:type="pct"/>
            <w:vAlign w:val="bottom"/>
          </w:tcPr>
          <w:p w14:paraId="7DAD63B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7.815.000</w:t>
            </w:r>
          </w:p>
        </w:tc>
        <w:tc>
          <w:tcPr>
            <w:tcW w:w="690" w:type="pct"/>
            <w:vAlign w:val="bottom"/>
          </w:tcPr>
          <w:p w14:paraId="7FD713E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7.153.000</w:t>
            </w:r>
          </w:p>
        </w:tc>
        <w:tc>
          <w:tcPr>
            <w:tcW w:w="400" w:type="pct"/>
            <w:vAlign w:val="bottom"/>
          </w:tcPr>
          <w:p w14:paraId="7922AC2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92,4</w:t>
            </w:r>
          </w:p>
        </w:tc>
      </w:tr>
      <w:tr w:rsidR="00CA7CC9" w14:paraId="0D4F98A4" w14:textId="77777777">
        <w:tc>
          <w:tcPr>
            <w:tcW w:w="980" w:type="pct"/>
            <w:vAlign w:val="bottom"/>
          </w:tcPr>
          <w:p w14:paraId="1C95F1CD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- VIŠAK/MANJAK</w:t>
            </w:r>
          </w:p>
        </w:tc>
        <w:tc>
          <w:tcPr>
            <w:tcW w:w="690" w:type="pct"/>
            <w:vAlign w:val="bottom"/>
          </w:tcPr>
          <w:p w14:paraId="3F6A0BC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1.244.914</w:t>
            </w:r>
          </w:p>
        </w:tc>
        <w:tc>
          <w:tcPr>
            <w:tcW w:w="690" w:type="pct"/>
            <w:vAlign w:val="bottom"/>
          </w:tcPr>
          <w:p w14:paraId="6251D37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-1.954.300</w:t>
            </w:r>
          </w:p>
        </w:tc>
        <w:tc>
          <w:tcPr>
            <w:tcW w:w="690" w:type="pct"/>
            <w:vAlign w:val="bottom"/>
          </w:tcPr>
          <w:p w14:paraId="782B3D3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-3.399.000</w:t>
            </w:r>
          </w:p>
        </w:tc>
        <w:tc>
          <w:tcPr>
            <w:tcW w:w="690" w:type="pct"/>
            <w:vAlign w:val="bottom"/>
          </w:tcPr>
          <w:p w14:paraId="2DD8933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-3.424.000</w:t>
            </w:r>
          </w:p>
        </w:tc>
        <w:tc>
          <w:tcPr>
            <w:tcW w:w="690" w:type="pct"/>
            <w:vAlign w:val="bottom"/>
          </w:tcPr>
          <w:p w14:paraId="68957BC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-2.839.000</w:t>
            </w:r>
          </w:p>
        </w:tc>
        <w:tc>
          <w:tcPr>
            <w:tcW w:w="400" w:type="pct"/>
            <w:vAlign w:val="bottom"/>
          </w:tcPr>
          <w:p w14:paraId="49BA5B5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173,9</w:t>
            </w:r>
          </w:p>
        </w:tc>
      </w:tr>
    </w:tbl>
    <w:p w14:paraId="419F723E" w14:textId="77777777" w:rsidR="00CA7CC9" w:rsidRDefault="00CA7CC9">
      <w:pPr>
        <w:spacing w:after="0" w:line="240" w:lineRule="auto"/>
      </w:pPr>
    </w:p>
    <w:p w14:paraId="1CEE83E0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RAČUN FINANCIRANJA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56B81937" w14:textId="77777777">
        <w:tc>
          <w:tcPr>
            <w:tcW w:w="980" w:type="pct"/>
            <w:shd w:val="clear" w:color="auto" w:fill="BCDFFB"/>
            <w:vAlign w:val="center"/>
          </w:tcPr>
          <w:p w14:paraId="0545E991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661E1433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2AF9CF08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4C882BF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F0B7634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5C269B5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5E5DFCCC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5AF84D22" w14:textId="77777777">
        <w:tc>
          <w:tcPr>
            <w:tcW w:w="980" w:type="pct"/>
            <w:vAlign w:val="center"/>
          </w:tcPr>
          <w:p w14:paraId="6FAC3D87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PRIMICI OD FINANCIJSKE IMOVINE I ZADUŽIVANJA</w:t>
            </w:r>
          </w:p>
        </w:tc>
        <w:tc>
          <w:tcPr>
            <w:tcW w:w="690" w:type="pct"/>
            <w:vAlign w:val="bottom"/>
          </w:tcPr>
          <w:p w14:paraId="3DC1491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5.232.374</w:t>
            </w:r>
          </w:p>
        </w:tc>
        <w:tc>
          <w:tcPr>
            <w:tcW w:w="690" w:type="pct"/>
            <w:vAlign w:val="bottom"/>
          </w:tcPr>
          <w:p w14:paraId="3B1F057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3.562.700</w:t>
            </w:r>
          </w:p>
        </w:tc>
        <w:tc>
          <w:tcPr>
            <w:tcW w:w="690" w:type="pct"/>
            <w:vAlign w:val="bottom"/>
          </w:tcPr>
          <w:p w14:paraId="3020E8C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480.000</w:t>
            </w:r>
          </w:p>
        </w:tc>
        <w:tc>
          <w:tcPr>
            <w:tcW w:w="690" w:type="pct"/>
            <w:vAlign w:val="bottom"/>
          </w:tcPr>
          <w:p w14:paraId="798F695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380.000</w:t>
            </w:r>
          </w:p>
        </w:tc>
        <w:tc>
          <w:tcPr>
            <w:tcW w:w="690" w:type="pct"/>
            <w:vAlign w:val="bottom"/>
          </w:tcPr>
          <w:p w14:paraId="0DC843C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265.000</w:t>
            </w:r>
          </w:p>
        </w:tc>
        <w:tc>
          <w:tcPr>
            <w:tcW w:w="400" w:type="pct"/>
            <w:vAlign w:val="bottom"/>
          </w:tcPr>
          <w:p w14:paraId="56DC42B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13,5</w:t>
            </w:r>
          </w:p>
        </w:tc>
      </w:tr>
      <w:tr w:rsidR="00CA7CC9" w14:paraId="1DE22DDB" w14:textId="77777777">
        <w:tc>
          <w:tcPr>
            <w:tcW w:w="980" w:type="pct"/>
            <w:vAlign w:val="center"/>
          </w:tcPr>
          <w:p w14:paraId="02B3E55A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 xml:space="preserve">IZDACI ZA </w:t>
            </w:r>
            <w:r>
              <w:rPr>
                <w:rFonts w:ascii="Calibri" w:hAnsi="Calibri" w:cs="Calibri"/>
                <w:sz w:val="18"/>
              </w:rPr>
              <w:lastRenderedPageBreak/>
              <w:t>FINANCIJSKU IMOVINU I OTPLATE ZAJMOVA</w:t>
            </w:r>
          </w:p>
        </w:tc>
        <w:tc>
          <w:tcPr>
            <w:tcW w:w="690" w:type="pct"/>
            <w:vAlign w:val="bottom"/>
          </w:tcPr>
          <w:p w14:paraId="4A72528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lastRenderedPageBreak/>
              <w:t>0</w:t>
            </w:r>
          </w:p>
        </w:tc>
        <w:tc>
          <w:tcPr>
            <w:tcW w:w="690" w:type="pct"/>
            <w:vAlign w:val="bottom"/>
          </w:tcPr>
          <w:p w14:paraId="1ED61FE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14:paraId="1791C2B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14:paraId="4DE8E23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14:paraId="7A3B471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F23723B" w14:textId="77777777" w:rsidR="00CA7CC9" w:rsidRDefault="00CA7CC9">
            <w:pPr>
              <w:spacing w:after="0" w:line="240" w:lineRule="auto"/>
              <w:jc w:val="right"/>
            </w:pPr>
          </w:p>
        </w:tc>
      </w:tr>
      <w:tr w:rsidR="00CA7CC9" w14:paraId="0F959950" w14:textId="77777777">
        <w:tc>
          <w:tcPr>
            <w:tcW w:w="980" w:type="pct"/>
            <w:vAlign w:val="bottom"/>
          </w:tcPr>
          <w:p w14:paraId="0905FE08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PRIMITAKA I IZDATAKA</w:t>
            </w:r>
          </w:p>
        </w:tc>
        <w:tc>
          <w:tcPr>
            <w:tcW w:w="690" w:type="pct"/>
            <w:vAlign w:val="bottom"/>
          </w:tcPr>
          <w:p w14:paraId="45EF39B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5.232.374</w:t>
            </w:r>
          </w:p>
        </w:tc>
        <w:tc>
          <w:tcPr>
            <w:tcW w:w="690" w:type="pct"/>
            <w:vAlign w:val="bottom"/>
          </w:tcPr>
          <w:p w14:paraId="0586264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3.562.700</w:t>
            </w:r>
          </w:p>
        </w:tc>
        <w:tc>
          <w:tcPr>
            <w:tcW w:w="690" w:type="pct"/>
            <w:vAlign w:val="bottom"/>
          </w:tcPr>
          <w:p w14:paraId="0676605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480.000</w:t>
            </w:r>
          </w:p>
        </w:tc>
        <w:tc>
          <w:tcPr>
            <w:tcW w:w="690" w:type="pct"/>
            <w:vAlign w:val="bottom"/>
          </w:tcPr>
          <w:p w14:paraId="065B6D9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380.000</w:t>
            </w:r>
          </w:p>
        </w:tc>
        <w:tc>
          <w:tcPr>
            <w:tcW w:w="690" w:type="pct"/>
            <w:vAlign w:val="bottom"/>
          </w:tcPr>
          <w:p w14:paraId="7C88B86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265.000</w:t>
            </w:r>
          </w:p>
        </w:tc>
        <w:tc>
          <w:tcPr>
            <w:tcW w:w="400" w:type="pct"/>
            <w:vAlign w:val="bottom"/>
          </w:tcPr>
          <w:p w14:paraId="2416891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13,5</w:t>
            </w:r>
          </w:p>
        </w:tc>
      </w:tr>
      <w:tr w:rsidR="00CA7CC9" w14:paraId="6CBAA29E" w14:textId="77777777">
        <w:tc>
          <w:tcPr>
            <w:tcW w:w="980" w:type="pct"/>
            <w:vAlign w:val="bottom"/>
          </w:tcPr>
          <w:p w14:paraId="79274BC1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IZ PRETHODNE GODINE</w:t>
            </w:r>
          </w:p>
        </w:tc>
        <w:tc>
          <w:tcPr>
            <w:tcW w:w="690" w:type="pct"/>
            <w:vAlign w:val="bottom"/>
          </w:tcPr>
          <w:p w14:paraId="7392261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24.565.436</w:t>
            </w:r>
          </w:p>
        </w:tc>
        <w:tc>
          <w:tcPr>
            <w:tcW w:w="690" w:type="pct"/>
            <w:vAlign w:val="bottom"/>
          </w:tcPr>
          <w:p w14:paraId="48CB5D3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31.042.724</w:t>
            </w:r>
          </w:p>
        </w:tc>
        <w:tc>
          <w:tcPr>
            <w:tcW w:w="690" w:type="pct"/>
            <w:vAlign w:val="bottom"/>
          </w:tcPr>
          <w:p w14:paraId="3CC4481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32.651.124</w:t>
            </w:r>
          </w:p>
        </w:tc>
        <w:tc>
          <w:tcPr>
            <w:tcW w:w="690" w:type="pct"/>
            <w:vAlign w:val="bottom"/>
          </w:tcPr>
          <w:p w14:paraId="510DB7C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29.732.124</w:t>
            </w:r>
          </w:p>
        </w:tc>
        <w:tc>
          <w:tcPr>
            <w:tcW w:w="690" w:type="pct"/>
            <w:vAlign w:val="bottom"/>
          </w:tcPr>
          <w:p w14:paraId="164F191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26.688.124</w:t>
            </w:r>
          </w:p>
        </w:tc>
        <w:tc>
          <w:tcPr>
            <w:tcW w:w="400" w:type="pct"/>
            <w:vAlign w:val="bottom"/>
          </w:tcPr>
          <w:p w14:paraId="7382671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105,2</w:t>
            </w:r>
          </w:p>
        </w:tc>
      </w:tr>
      <w:tr w:rsidR="00CA7CC9" w14:paraId="0A1C00BA" w14:textId="77777777">
        <w:tc>
          <w:tcPr>
            <w:tcW w:w="980" w:type="pct"/>
            <w:vAlign w:val="bottom"/>
          </w:tcPr>
          <w:p w14:paraId="4EFD7492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U SLJEDEĆU GODINU</w:t>
            </w:r>
          </w:p>
        </w:tc>
        <w:tc>
          <w:tcPr>
            <w:tcW w:w="690" w:type="pct"/>
            <w:vAlign w:val="bottom"/>
          </w:tcPr>
          <w:p w14:paraId="6C6DD18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-31.042.724</w:t>
            </w:r>
          </w:p>
        </w:tc>
        <w:tc>
          <w:tcPr>
            <w:tcW w:w="690" w:type="pct"/>
            <w:vAlign w:val="bottom"/>
          </w:tcPr>
          <w:p w14:paraId="4C0C866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-32.651.124</w:t>
            </w:r>
          </w:p>
        </w:tc>
        <w:tc>
          <w:tcPr>
            <w:tcW w:w="690" w:type="pct"/>
            <w:vAlign w:val="bottom"/>
          </w:tcPr>
          <w:p w14:paraId="178E080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-29.732.124</w:t>
            </w:r>
          </w:p>
        </w:tc>
        <w:tc>
          <w:tcPr>
            <w:tcW w:w="690" w:type="pct"/>
            <w:vAlign w:val="bottom"/>
          </w:tcPr>
          <w:p w14:paraId="3ED599E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-26.688.124</w:t>
            </w:r>
          </w:p>
        </w:tc>
        <w:tc>
          <w:tcPr>
            <w:tcW w:w="690" w:type="pct"/>
            <w:vAlign w:val="bottom"/>
          </w:tcPr>
          <w:p w14:paraId="237E0BB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-24.114.124</w:t>
            </w:r>
          </w:p>
        </w:tc>
        <w:tc>
          <w:tcPr>
            <w:tcW w:w="400" w:type="pct"/>
            <w:vAlign w:val="bottom"/>
          </w:tcPr>
          <w:p w14:paraId="359401F6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91,1</w:t>
            </w:r>
          </w:p>
        </w:tc>
      </w:tr>
      <w:tr w:rsidR="00CA7CC9" w14:paraId="763FD0F7" w14:textId="77777777">
        <w:tc>
          <w:tcPr>
            <w:tcW w:w="980" w:type="pct"/>
            <w:vAlign w:val="bottom"/>
          </w:tcPr>
          <w:p w14:paraId="6F54A88C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NETO FINANCIRANJE</w:t>
            </w:r>
          </w:p>
        </w:tc>
        <w:tc>
          <w:tcPr>
            <w:tcW w:w="690" w:type="pct"/>
            <w:vAlign w:val="bottom"/>
          </w:tcPr>
          <w:p w14:paraId="1DD2FFE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-1.244.914</w:t>
            </w:r>
          </w:p>
        </w:tc>
        <w:tc>
          <w:tcPr>
            <w:tcW w:w="690" w:type="pct"/>
            <w:vAlign w:val="bottom"/>
          </w:tcPr>
          <w:p w14:paraId="42B093F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1.954.300</w:t>
            </w:r>
          </w:p>
        </w:tc>
        <w:tc>
          <w:tcPr>
            <w:tcW w:w="690" w:type="pct"/>
            <w:vAlign w:val="bottom"/>
          </w:tcPr>
          <w:p w14:paraId="0B2A44E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3.399.000</w:t>
            </w:r>
          </w:p>
        </w:tc>
        <w:tc>
          <w:tcPr>
            <w:tcW w:w="690" w:type="pct"/>
            <w:vAlign w:val="bottom"/>
          </w:tcPr>
          <w:p w14:paraId="6FA20C4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3.424.000</w:t>
            </w:r>
          </w:p>
        </w:tc>
        <w:tc>
          <w:tcPr>
            <w:tcW w:w="690" w:type="pct"/>
            <w:vAlign w:val="bottom"/>
          </w:tcPr>
          <w:p w14:paraId="36BE397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2.839.000</w:t>
            </w:r>
          </w:p>
        </w:tc>
        <w:tc>
          <w:tcPr>
            <w:tcW w:w="400" w:type="pct"/>
            <w:vAlign w:val="bottom"/>
          </w:tcPr>
          <w:p w14:paraId="3AAF684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173,9</w:t>
            </w:r>
          </w:p>
        </w:tc>
      </w:tr>
    </w:tbl>
    <w:p w14:paraId="094092E3" w14:textId="77777777" w:rsidR="00CA7CC9" w:rsidRDefault="00CA7CC9">
      <w:pPr>
        <w:spacing w:after="0" w:line="240" w:lineRule="auto"/>
      </w:pPr>
    </w:p>
    <w:p w14:paraId="0D4FCB63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PRIMICI OD FINANCIJSKE IMOVINE I ZADUŽIVANJA</w:t>
      </w:r>
    </w:p>
    <w:p w14:paraId="493A3BED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primici od financijske imovine i zaduživanja za 2024. godinu iznose 480.000 eura i odnose na slijedeće planirane primitke:</w:t>
      </w:r>
    </w:p>
    <w:p w14:paraId="5A19DE52" w14:textId="77777777" w:rsidR="00CA7CC9" w:rsidRDefault="00815449">
      <w:pPr>
        <w:numPr>
          <w:ilvl w:val="0"/>
          <w:numId w:val="7"/>
        </w:numPr>
        <w:spacing w:line="240" w:lineRule="auto"/>
        <w:jc w:val="both"/>
      </w:pPr>
      <w:r>
        <w:rPr>
          <w:rFonts w:ascii="Calibri" w:hAnsi="Calibri" w:cs="Calibri"/>
          <w:b/>
        </w:rPr>
        <w:t>Primljeni povrati glavnica danih zajmova i depozita</w:t>
      </w:r>
      <w:r>
        <w:rPr>
          <w:rFonts w:ascii="Calibri" w:hAnsi="Calibri" w:cs="Calibri"/>
        </w:rPr>
        <w:t> u iznosu od 200.000 eura, odnose se na planirane primitke po ranije danim zajmovima te sklopljenim predstečajnim nagodbama i stečajnim postupcima,</w:t>
      </w:r>
    </w:p>
    <w:p w14:paraId="2D72C6DB" w14:textId="77777777" w:rsidR="00CA7CC9" w:rsidRDefault="00815449">
      <w:pPr>
        <w:numPr>
          <w:ilvl w:val="0"/>
          <w:numId w:val="7"/>
        </w:numPr>
        <w:spacing w:line="240" w:lineRule="auto"/>
        <w:jc w:val="both"/>
      </w:pPr>
      <w:r>
        <w:rPr>
          <w:rFonts w:ascii="Calibri" w:hAnsi="Calibri" w:cs="Calibri"/>
          <w:b/>
        </w:rPr>
        <w:t>Primici od prodaje dionica i udjela u glavnici</w:t>
      </w:r>
      <w:r>
        <w:rPr>
          <w:rFonts w:ascii="Calibri" w:hAnsi="Calibri" w:cs="Calibri"/>
        </w:rPr>
        <w:t> u iznosu od 280.000 eura, odnose se na primitke od prodaje dionica/udjela u glavnici po ugovorima sklopljenim s „malim dioničarima“, te na primitke od prodaje dionica/udjela društava u vlasništvu Centra. </w:t>
      </w:r>
    </w:p>
    <w:p w14:paraId="27439BF2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Planirani primici od financijske imovine i zaduživanja za 2024. godinu u odnosu na planirane primitke od financijske imovine i zaduživanja za 2023. godinu manji su za iznos od 3.082.700 eura, tj. za 86,53% iz razloga što se u 2024. godini očekuju manji primici iz sudskih i stečajnih postupaka te manji primici od prodaje dionica/udjela društava u vlasništvu Centra.</w:t>
      </w:r>
    </w:p>
    <w:p w14:paraId="67C26B54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IZDACI ZA FINANCIJSKU IMOVINU I OTPLATE ZAJMOVA</w:t>
      </w:r>
    </w:p>
    <w:p w14:paraId="289C5C3E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Centar za razdoblje 2024. - 2026. godine ne planira izdatke za financijsku imovinu i otplate zajmova.</w:t>
      </w:r>
    </w:p>
    <w:p w14:paraId="118B917D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  <w:b/>
        </w:rPr>
        <w:t>PRIJENOS SREDSTAVA IZ PRETHODNE / U SLJEDEĆU GODINU</w:t>
      </w:r>
    </w:p>
    <w:p w14:paraId="32592F85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Centar je u 2023. godinu prenio višak sredstava u iznosu od 31.042.724 eura, te se očekuje povećanje prijenosa navedenih sredstava iz 2023. u 2024. godinu za iznos od 1.608.400 eura tj. za 5,18%.</w:t>
      </w:r>
    </w:p>
    <w:p w14:paraId="2280C341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Centar planira smanjenje prijenosa sredstava iz 2024. u 2025. godinu za iznos od 2.919.000 eura, te dodatno smanjenje prijenosa sredstava iz 2025. u 2026. godinu za iznos od 3.044.000 eura. Planirani prijenos sredstava koristit će se za podmirenje tekućih obveza Centra.</w:t>
      </w:r>
    </w:p>
    <w:p w14:paraId="40CF6875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UKUPNE I DOSPJELE OBVEZE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86"/>
        <w:gridCol w:w="3501"/>
        <w:gridCol w:w="3501"/>
      </w:tblGrid>
      <w:tr w:rsidR="00CA7CC9" w14:paraId="555DB9C0" w14:textId="77777777">
        <w:tc>
          <w:tcPr>
            <w:tcW w:w="970" w:type="pct"/>
            <w:shd w:val="clear" w:color="auto" w:fill="BCDFFB"/>
            <w:vAlign w:val="center"/>
          </w:tcPr>
          <w:p w14:paraId="6FE73428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1900" w:type="pct"/>
            <w:shd w:val="clear" w:color="auto" w:fill="BCDFFB"/>
            <w:vAlign w:val="center"/>
          </w:tcPr>
          <w:p w14:paraId="13C8D2B4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Stanje obveza na dan 31.12.2022.</w:t>
            </w:r>
          </w:p>
        </w:tc>
        <w:tc>
          <w:tcPr>
            <w:tcW w:w="1900" w:type="pct"/>
            <w:shd w:val="clear" w:color="auto" w:fill="BCDFFB"/>
            <w:vAlign w:val="center"/>
          </w:tcPr>
          <w:p w14:paraId="1A47F3B9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Stanje obveza na dan 30.06.2023.</w:t>
            </w:r>
          </w:p>
        </w:tc>
      </w:tr>
      <w:tr w:rsidR="00CA7CC9" w14:paraId="53638E75" w14:textId="77777777">
        <w:tc>
          <w:tcPr>
            <w:tcW w:w="970" w:type="pct"/>
            <w:vAlign w:val="center"/>
          </w:tcPr>
          <w:p w14:paraId="07ABE7C6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UKUPNE OBVEZE</w:t>
            </w:r>
          </w:p>
        </w:tc>
        <w:tc>
          <w:tcPr>
            <w:tcW w:w="1900" w:type="pct"/>
            <w:vAlign w:val="bottom"/>
          </w:tcPr>
          <w:p w14:paraId="68E7556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170.376.151</w:t>
            </w:r>
          </w:p>
        </w:tc>
        <w:tc>
          <w:tcPr>
            <w:tcW w:w="1900" w:type="pct"/>
            <w:vAlign w:val="bottom"/>
          </w:tcPr>
          <w:p w14:paraId="0DC4D672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171.628.421</w:t>
            </w:r>
          </w:p>
        </w:tc>
      </w:tr>
      <w:tr w:rsidR="00CA7CC9" w14:paraId="0BD0231C" w14:textId="77777777">
        <w:tc>
          <w:tcPr>
            <w:tcW w:w="970" w:type="pct"/>
            <w:vAlign w:val="center"/>
          </w:tcPr>
          <w:p w14:paraId="2D5CFD71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DOSPJELE OBVEZE</w:t>
            </w:r>
          </w:p>
        </w:tc>
        <w:tc>
          <w:tcPr>
            <w:tcW w:w="1900" w:type="pct"/>
            <w:vAlign w:val="bottom"/>
          </w:tcPr>
          <w:p w14:paraId="637390D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169.886.131</w:t>
            </w:r>
          </w:p>
        </w:tc>
        <w:tc>
          <w:tcPr>
            <w:tcW w:w="1900" w:type="pct"/>
            <w:vAlign w:val="bottom"/>
          </w:tcPr>
          <w:p w14:paraId="6388A28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169.886.210</w:t>
            </w:r>
          </w:p>
        </w:tc>
      </w:tr>
    </w:tbl>
    <w:p w14:paraId="4ADFABA2" w14:textId="77777777" w:rsidR="00CA7CC9" w:rsidRDefault="00CA7CC9">
      <w:pPr>
        <w:spacing w:after="0" w:line="240" w:lineRule="auto"/>
      </w:pPr>
    </w:p>
    <w:p w14:paraId="01C8441E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Stanje ukupnih obveza Centra na dan 31.12.2022. godine iznosilo je 170.376.151 eura, te su iste neznatno manje (3,5%) u odnosu na stanje ukupnih obveza Centra na dan 01.01.2022. godine kada su iste iznosile 176.366.443 eura. Ovo smanjenje prvenstveno je rezultat podmirenja dijela obveza Centra prema Ministarstvu prostornoga uređenja, graditeljstva i državne imovine s osnova prijenosa obveza i potraživanja DAB-a (sada HAOD) na navedeno Ministarstvo.</w:t>
      </w:r>
    </w:p>
    <w:p w14:paraId="7AE9D357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Na dan 31.12.2022. godine Centar je imao nepodmirene dospjele obveze u ukupnom iznosu od 169.886.131 eura, a koje obveze se odnose na:</w:t>
      </w:r>
    </w:p>
    <w:p w14:paraId="775DA365" w14:textId="77777777" w:rsidR="00CA7CC9" w:rsidRDefault="00815449">
      <w:pPr>
        <w:numPr>
          <w:ilvl w:val="0"/>
          <w:numId w:val="8"/>
        </w:numPr>
        <w:spacing w:line="240" w:lineRule="auto"/>
        <w:jc w:val="both"/>
      </w:pPr>
      <w:r>
        <w:rPr>
          <w:rFonts w:ascii="Calibri" w:hAnsi="Calibri" w:cs="Calibri"/>
        </w:rPr>
        <w:lastRenderedPageBreak/>
        <w:t>obveze prema HZMO-u za potraživanja iz razdoblja od 1994. do 2000. godine u ukupnom iznosu od 143.789.980 eura;</w:t>
      </w:r>
    </w:p>
    <w:p w14:paraId="5E525519" w14:textId="77777777" w:rsidR="00CA7CC9" w:rsidRDefault="00815449">
      <w:pPr>
        <w:numPr>
          <w:ilvl w:val="0"/>
          <w:numId w:val="8"/>
        </w:numPr>
        <w:spacing w:line="240" w:lineRule="auto"/>
        <w:jc w:val="both"/>
      </w:pPr>
      <w:r>
        <w:rPr>
          <w:rFonts w:ascii="Calibri" w:hAnsi="Calibri" w:cs="Calibri"/>
        </w:rPr>
        <w:t>obveze prema Ministarstvu financija s osnova otkupa potraživanja od HPB-a iz razdoblja od 2001. do 2004. godine u iznosu od 25.224.502 eura;</w:t>
      </w:r>
    </w:p>
    <w:p w14:paraId="17978038" w14:textId="77777777" w:rsidR="00CA7CC9" w:rsidRDefault="00815449">
      <w:pPr>
        <w:numPr>
          <w:ilvl w:val="0"/>
          <w:numId w:val="8"/>
        </w:numPr>
        <w:spacing w:line="240" w:lineRule="auto"/>
        <w:jc w:val="both"/>
      </w:pPr>
      <w:r>
        <w:rPr>
          <w:rFonts w:ascii="Calibri" w:hAnsi="Calibri" w:cs="Calibri"/>
        </w:rPr>
        <w:t>obveze prema Ministarstvu prostornoga uređenja, graditeljstva i državne imovine s osnova prijenosa obveza i potraživanja DAB-a (sada: Hrvatska agencija za osiguranje depozita) na navedeno Ministarstvo u iznosu od 871.649 eura.</w:t>
      </w:r>
    </w:p>
    <w:p w14:paraId="2A1E998B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Stanje ukupnih obveza Centra na dan 30.06.2023. godine iznosilo je 171.628.421 eura, te su iste neznatno veće u odnosu na stanje ukupnih obveza Centra na dan 01.01.2023. godine kada su obveze iznosile 170.376.151 eura. Ovo povećanje prvenstveno je rezultat većih obveza Centra prema državnom proračunu Republike Hrvatske s osnova realizirane prodaje dionica/poslovnih udjela trgovačkih društva iz portfelja Republike Hrvatske (obveze koje su podmirene u srpnju 2023. godine za prethodni mjesec).</w:t>
      </w:r>
    </w:p>
    <w:p w14:paraId="72F541FC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Na dan 30.06.2023. godine Centar je imao nepodmirene dospjele obveze u ukupnom iznosu od 169.886.210 eura, a koje dospjele obveze su neznatno veće u odnosu na stanje dospjelih obveza Centra na dan 01.01.2023. godine i to za materijalne rashode koji su podmireni u srpnju 2023. godine.</w:t>
      </w:r>
    </w:p>
    <w:p w14:paraId="45F14E3E" w14:textId="77777777" w:rsidR="00CA7CC9" w:rsidRDefault="00815449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POSEBNI DIO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7C39BC7A" w14:textId="77777777">
        <w:tc>
          <w:tcPr>
            <w:tcW w:w="980" w:type="pct"/>
            <w:shd w:val="clear" w:color="auto" w:fill="BCDFFB"/>
            <w:vAlign w:val="center"/>
          </w:tcPr>
          <w:p w14:paraId="5553775D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7E1718A0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5718BD44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6B21BF6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08B7D8BD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0027EBD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4AC4D55A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6EC9E82F" w14:textId="77777777">
        <w:tc>
          <w:tcPr>
            <w:tcW w:w="980" w:type="pct"/>
            <w:vAlign w:val="center"/>
          </w:tcPr>
          <w:p w14:paraId="4E008BE8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005 CENTAR ZA RESTRUKTURIRANJE I PRODAJU</w:t>
            </w:r>
          </w:p>
        </w:tc>
        <w:tc>
          <w:tcPr>
            <w:tcW w:w="690" w:type="pct"/>
            <w:vAlign w:val="bottom"/>
          </w:tcPr>
          <w:p w14:paraId="0604193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2.960.326</w:t>
            </w:r>
          </w:p>
        </w:tc>
        <w:tc>
          <w:tcPr>
            <w:tcW w:w="690" w:type="pct"/>
            <w:vAlign w:val="bottom"/>
          </w:tcPr>
          <w:p w14:paraId="664886A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8.626.275</w:t>
            </w:r>
          </w:p>
        </w:tc>
        <w:tc>
          <w:tcPr>
            <w:tcW w:w="690" w:type="pct"/>
            <w:vAlign w:val="bottom"/>
          </w:tcPr>
          <w:p w14:paraId="0762CAE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7.968.000</w:t>
            </w:r>
          </w:p>
        </w:tc>
        <w:tc>
          <w:tcPr>
            <w:tcW w:w="690" w:type="pct"/>
            <w:vAlign w:val="bottom"/>
          </w:tcPr>
          <w:p w14:paraId="740EBAA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7.815.000</w:t>
            </w:r>
          </w:p>
        </w:tc>
        <w:tc>
          <w:tcPr>
            <w:tcW w:w="690" w:type="pct"/>
            <w:vAlign w:val="bottom"/>
          </w:tcPr>
          <w:p w14:paraId="741BCED1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7.153.000</w:t>
            </w:r>
          </w:p>
        </w:tc>
        <w:tc>
          <w:tcPr>
            <w:tcW w:w="400" w:type="pct"/>
            <w:vAlign w:val="bottom"/>
          </w:tcPr>
          <w:p w14:paraId="69DA17A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92,4</w:t>
            </w:r>
          </w:p>
        </w:tc>
      </w:tr>
    </w:tbl>
    <w:p w14:paraId="52DD4BB5" w14:textId="77777777" w:rsidR="00CA7CC9" w:rsidRDefault="00CA7CC9">
      <w:pPr>
        <w:spacing w:after="0" w:line="240" w:lineRule="auto"/>
      </w:pPr>
    </w:p>
    <w:p w14:paraId="0EAE49AE" w14:textId="77777777" w:rsidR="00CA7CC9" w:rsidRDefault="00815449">
      <w:pPr>
        <w:spacing w:line="240" w:lineRule="auto"/>
      </w:pPr>
      <w:r>
        <w:rPr>
          <w:rFonts w:ascii="Calibri" w:hAnsi="Calibri" w:cs="Calibri"/>
          <w:b/>
        </w:rPr>
        <w:br/>
        <w:t xml:space="preserve">5000 ADMINISTRATIVNO UPRAVLJANJE I OPREMANJE </w:t>
      </w:r>
    </w:p>
    <w:p w14:paraId="4F4D5367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Centar je za razdoblje 2024. - 2026. godine planirao rashode poslovanja i rashode za nabavu nefinancijske imovine te ih rasporedio na aktivnosti i projekte kojima se osigurava realizacija programa Administrativno upravljanje i Opremanje, sve u slijedećim iznosima: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5641FE70" w14:textId="77777777">
        <w:tc>
          <w:tcPr>
            <w:tcW w:w="980" w:type="pct"/>
            <w:shd w:val="clear" w:color="auto" w:fill="BCDFFB"/>
            <w:vAlign w:val="center"/>
          </w:tcPr>
          <w:p w14:paraId="64858349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710A84CC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3B957AEC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7099907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4E48122D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3DEE2662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744355DD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488E05CA" w14:textId="77777777">
        <w:tc>
          <w:tcPr>
            <w:tcW w:w="980" w:type="pct"/>
            <w:vAlign w:val="center"/>
          </w:tcPr>
          <w:p w14:paraId="3CCAF1F8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5000</w:t>
            </w:r>
          </w:p>
        </w:tc>
        <w:tc>
          <w:tcPr>
            <w:tcW w:w="690" w:type="pct"/>
            <w:vAlign w:val="bottom"/>
          </w:tcPr>
          <w:p w14:paraId="50B1846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2.960.326</w:t>
            </w:r>
          </w:p>
        </w:tc>
        <w:tc>
          <w:tcPr>
            <w:tcW w:w="690" w:type="pct"/>
            <w:vAlign w:val="bottom"/>
          </w:tcPr>
          <w:p w14:paraId="4531E81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8.626.275</w:t>
            </w:r>
          </w:p>
        </w:tc>
        <w:tc>
          <w:tcPr>
            <w:tcW w:w="690" w:type="pct"/>
            <w:vAlign w:val="bottom"/>
          </w:tcPr>
          <w:p w14:paraId="26A1B7CA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7.968.000</w:t>
            </w:r>
          </w:p>
        </w:tc>
        <w:tc>
          <w:tcPr>
            <w:tcW w:w="690" w:type="pct"/>
            <w:vAlign w:val="bottom"/>
          </w:tcPr>
          <w:p w14:paraId="2514766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7.815.000</w:t>
            </w:r>
          </w:p>
        </w:tc>
        <w:tc>
          <w:tcPr>
            <w:tcW w:w="690" w:type="pct"/>
            <w:vAlign w:val="bottom"/>
          </w:tcPr>
          <w:p w14:paraId="1D0F4C3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7.153.000</w:t>
            </w:r>
          </w:p>
        </w:tc>
        <w:tc>
          <w:tcPr>
            <w:tcW w:w="400" w:type="pct"/>
            <w:vAlign w:val="bottom"/>
          </w:tcPr>
          <w:p w14:paraId="6EEB00E3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92,4</w:t>
            </w:r>
          </w:p>
        </w:tc>
      </w:tr>
    </w:tbl>
    <w:p w14:paraId="0B810402" w14:textId="77777777" w:rsidR="00CA7CC9" w:rsidRDefault="00CA7CC9">
      <w:pPr>
        <w:spacing w:after="0" w:line="240" w:lineRule="auto"/>
      </w:pPr>
    </w:p>
    <w:p w14:paraId="6F836A3C" w14:textId="77777777" w:rsidR="00CA7CC9" w:rsidRDefault="00815449">
      <w:pPr>
        <w:spacing w:line="240" w:lineRule="auto"/>
      </w:pPr>
      <w:r>
        <w:rPr>
          <w:rFonts w:ascii="Calibri" w:hAnsi="Calibri" w:cs="Calibri"/>
          <w:b/>
        </w:rPr>
        <w:t xml:space="preserve">Cilj: </w:t>
      </w:r>
      <w:r>
        <w:rPr>
          <w:rFonts w:ascii="Calibri" w:hAnsi="Calibri" w:cs="Calibri"/>
        </w:rPr>
        <w:t>Cilj programa je ojačati učinkovitost poslovanja Centra kroz optimizaciju portfelja kojim upravlja Centar.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9"/>
        <w:gridCol w:w="1007"/>
        <w:gridCol w:w="1007"/>
        <w:gridCol w:w="1007"/>
        <w:gridCol w:w="1007"/>
        <w:gridCol w:w="1007"/>
        <w:gridCol w:w="1007"/>
        <w:gridCol w:w="1007"/>
      </w:tblGrid>
      <w:tr w:rsidR="00CA7CC9" w14:paraId="116763C3" w14:textId="77777777">
        <w:tc>
          <w:tcPr>
            <w:tcW w:w="950" w:type="pct"/>
            <w:shd w:val="clear" w:color="auto" w:fill="BCDFFB"/>
            <w:vAlign w:val="center"/>
          </w:tcPr>
          <w:p w14:paraId="1F8F71C4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učinka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5D0C2A51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36C05585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0B9D9EF8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38E846CB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41F0A426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47D62DCE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14:paraId="7EA8162B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CA7CC9" w14:paraId="6620B9F5" w14:textId="77777777">
        <w:tc>
          <w:tcPr>
            <w:tcW w:w="950" w:type="pct"/>
            <w:vAlign w:val="center"/>
          </w:tcPr>
          <w:p w14:paraId="466AF84C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Pokretanje postupaka prodaje dionica / udjela trgovačkih društava kojima upravlja Centar sukladno odredbama Zakona u cilju smanjenja ukupnog broja trgovačkih društava kojima upravlja Centar</w:t>
            </w:r>
          </w:p>
        </w:tc>
        <w:tc>
          <w:tcPr>
            <w:tcW w:w="550" w:type="pct"/>
            <w:vAlign w:val="center"/>
          </w:tcPr>
          <w:p w14:paraId="10C447E4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Kroz objavu oglasa za prodaju dionica / udjela trgovačkih društava kojima upravlja Centar očekuje se </w:t>
            </w:r>
            <w:r>
              <w:rPr>
                <w:rFonts w:ascii="Calibri" w:hAnsi="Calibri" w:cs="Calibri"/>
                <w:sz w:val="18"/>
              </w:rPr>
              <w:lastRenderedPageBreak/>
              <w:t>smanjenje ukupnog broja trgovačkih društava kojima upravlja Centar</w:t>
            </w:r>
          </w:p>
        </w:tc>
        <w:tc>
          <w:tcPr>
            <w:tcW w:w="550" w:type="pct"/>
            <w:vAlign w:val="center"/>
          </w:tcPr>
          <w:p w14:paraId="5506A5DB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Broj pokrenutih postupaka prodaje</w:t>
            </w:r>
          </w:p>
        </w:tc>
        <w:tc>
          <w:tcPr>
            <w:tcW w:w="550" w:type="pct"/>
            <w:vAlign w:val="center"/>
          </w:tcPr>
          <w:p w14:paraId="7B15ACF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65,0</w:t>
            </w:r>
          </w:p>
        </w:tc>
        <w:tc>
          <w:tcPr>
            <w:tcW w:w="550" w:type="pct"/>
            <w:vAlign w:val="center"/>
          </w:tcPr>
          <w:p w14:paraId="09990A26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CERP</w:t>
            </w:r>
          </w:p>
        </w:tc>
        <w:tc>
          <w:tcPr>
            <w:tcW w:w="550" w:type="pct"/>
            <w:vAlign w:val="center"/>
          </w:tcPr>
          <w:p w14:paraId="4F2710D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60,0</w:t>
            </w:r>
          </w:p>
        </w:tc>
        <w:tc>
          <w:tcPr>
            <w:tcW w:w="550" w:type="pct"/>
            <w:vAlign w:val="center"/>
          </w:tcPr>
          <w:p w14:paraId="28BF1647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  <w:tc>
          <w:tcPr>
            <w:tcW w:w="550" w:type="pct"/>
            <w:vAlign w:val="center"/>
          </w:tcPr>
          <w:p w14:paraId="45C65E6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40,0</w:t>
            </w:r>
          </w:p>
        </w:tc>
      </w:tr>
    </w:tbl>
    <w:p w14:paraId="108AE7B7" w14:textId="77777777" w:rsidR="00CA7CC9" w:rsidRDefault="00CA7CC9">
      <w:pPr>
        <w:spacing w:after="0" w:line="240" w:lineRule="auto"/>
      </w:pPr>
    </w:p>
    <w:p w14:paraId="3BE806B0" w14:textId="77777777" w:rsidR="00CA7CC9" w:rsidRDefault="00815449">
      <w:pPr>
        <w:spacing w:line="240" w:lineRule="auto"/>
      </w:pPr>
      <w:r>
        <w:rPr>
          <w:rFonts w:ascii="Calibri" w:hAnsi="Calibri" w:cs="Calibri"/>
          <w:b/>
        </w:rPr>
        <w:br/>
        <w:t xml:space="preserve">A500000 ADMINISTRACIJA I UPRAVLJANJE 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71B63607" w14:textId="77777777">
        <w:tc>
          <w:tcPr>
            <w:tcW w:w="980" w:type="pct"/>
            <w:shd w:val="clear" w:color="auto" w:fill="BCDFFB"/>
            <w:vAlign w:val="center"/>
          </w:tcPr>
          <w:p w14:paraId="4F55520C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17397479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235FED5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3C7DDFAF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43FB202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140D615F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605D2DE3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01C0DCB9" w14:textId="77777777">
        <w:tc>
          <w:tcPr>
            <w:tcW w:w="980" w:type="pct"/>
            <w:vAlign w:val="center"/>
          </w:tcPr>
          <w:p w14:paraId="76439F34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A500000</w:t>
            </w:r>
          </w:p>
        </w:tc>
        <w:tc>
          <w:tcPr>
            <w:tcW w:w="690" w:type="pct"/>
            <w:vAlign w:val="bottom"/>
          </w:tcPr>
          <w:p w14:paraId="1B3F870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2.840.002</w:t>
            </w:r>
          </w:p>
        </w:tc>
        <w:tc>
          <w:tcPr>
            <w:tcW w:w="690" w:type="pct"/>
            <w:vAlign w:val="bottom"/>
          </w:tcPr>
          <w:p w14:paraId="6F2CCC9F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8.409.875</w:t>
            </w:r>
          </w:p>
        </w:tc>
        <w:tc>
          <w:tcPr>
            <w:tcW w:w="690" w:type="pct"/>
            <w:vAlign w:val="bottom"/>
          </w:tcPr>
          <w:p w14:paraId="24B2D3DE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7.752.000</w:t>
            </w:r>
          </w:p>
        </w:tc>
        <w:tc>
          <w:tcPr>
            <w:tcW w:w="690" w:type="pct"/>
            <w:vAlign w:val="bottom"/>
          </w:tcPr>
          <w:p w14:paraId="7B76B8E5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7.559.000</w:t>
            </w:r>
          </w:p>
        </w:tc>
        <w:tc>
          <w:tcPr>
            <w:tcW w:w="690" w:type="pct"/>
            <w:vAlign w:val="bottom"/>
          </w:tcPr>
          <w:p w14:paraId="14A033D0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6.937.000</w:t>
            </w:r>
          </w:p>
        </w:tc>
        <w:tc>
          <w:tcPr>
            <w:tcW w:w="400" w:type="pct"/>
            <w:vAlign w:val="bottom"/>
          </w:tcPr>
          <w:p w14:paraId="60F06789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92,2</w:t>
            </w:r>
          </w:p>
        </w:tc>
      </w:tr>
    </w:tbl>
    <w:p w14:paraId="5EE05289" w14:textId="77777777" w:rsidR="00CA7CC9" w:rsidRDefault="00CA7CC9">
      <w:pPr>
        <w:spacing w:after="0" w:line="240" w:lineRule="auto"/>
      </w:pPr>
    </w:p>
    <w:p w14:paraId="5ECB4DDA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Rashodi za administraciju i upravljanje u 2024. godini planirani su u iznosu od 7.752.000 eura te su manji za iznos od 657.875 eura, tj. za 7,82% u odnosu na planirane rashode za administraciju i upravljanje iz 2023. godine iz razloga što se u 2024. godini očekuju manji rashodi po osnovi zateznih kamata za dugotrajne sudske postupke.</w:t>
      </w:r>
    </w:p>
    <w:p w14:paraId="38768D3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Aktivnost se odnosi na rashode za zaposlene, materijalne rashode, financijske rashode i ostale rashode, sve sa ciljem obavljanja redovne djelatnosti Centra, a od ukupno planiranih sredstava za 2024. godinu</w:t>
      </w:r>
    </w:p>
    <w:p w14:paraId="371576B0" w14:textId="77777777" w:rsidR="00CA7CC9" w:rsidRDefault="00815449">
      <w:pPr>
        <w:numPr>
          <w:ilvl w:val="0"/>
          <w:numId w:val="9"/>
        </w:numPr>
        <w:spacing w:line="240" w:lineRule="auto"/>
        <w:jc w:val="both"/>
      </w:pPr>
      <w:r>
        <w:rPr>
          <w:rFonts w:ascii="Calibri" w:hAnsi="Calibri" w:cs="Calibri"/>
        </w:rPr>
        <w:t xml:space="preserve">32,51% sredstava planirano je za rashode za zaposlene, </w:t>
      </w:r>
    </w:p>
    <w:p w14:paraId="4D771EBF" w14:textId="77777777" w:rsidR="00CA7CC9" w:rsidRDefault="00815449">
      <w:pPr>
        <w:numPr>
          <w:ilvl w:val="0"/>
          <w:numId w:val="9"/>
        </w:numPr>
        <w:spacing w:line="240" w:lineRule="auto"/>
        <w:jc w:val="both"/>
      </w:pPr>
      <w:r>
        <w:rPr>
          <w:rFonts w:ascii="Calibri" w:hAnsi="Calibri" w:cs="Calibri"/>
        </w:rPr>
        <w:t xml:space="preserve">44,00% sredstava planirano je za materijalne rashode u okviru kojih rashoda se nalaze troškovi dugotrajnih sudskih postupaka </w:t>
      </w:r>
    </w:p>
    <w:p w14:paraId="6DE352EF" w14:textId="77777777" w:rsidR="00CA7CC9" w:rsidRDefault="00815449">
      <w:pPr>
        <w:numPr>
          <w:ilvl w:val="0"/>
          <w:numId w:val="9"/>
        </w:numPr>
        <w:spacing w:line="240" w:lineRule="auto"/>
        <w:jc w:val="both"/>
      </w:pPr>
      <w:r>
        <w:rPr>
          <w:rFonts w:ascii="Calibri" w:hAnsi="Calibri" w:cs="Calibri"/>
        </w:rPr>
        <w:t xml:space="preserve">23,46 % sredstava planirano je za financijske rashode u okviru kojih rashoda najveći dio se odnosi na zatezne kamate za dugotrajne sudske postupke </w:t>
      </w:r>
    </w:p>
    <w:p w14:paraId="44F19AF4" w14:textId="77777777" w:rsidR="00CA7CC9" w:rsidRDefault="00815449">
      <w:pPr>
        <w:numPr>
          <w:ilvl w:val="0"/>
          <w:numId w:val="9"/>
        </w:numPr>
        <w:spacing w:line="240" w:lineRule="auto"/>
        <w:jc w:val="both"/>
      </w:pPr>
      <w:r>
        <w:rPr>
          <w:rFonts w:ascii="Calibri" w:hAnsi="Calibri" w:cs="Calibri"/>
        </w:rPr>
        <w:t>0,03% planirano je za ostale rashode.</w:t>
      </w:r>
    </w:p>
    <w:p w14:paraId="03D24D7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Rashodi za administraciju i upravljanje u 2025. i 2026. godini planirani su u istom ili sličnom omjeru (± 10%) kao i za 2024. godinu.</w:t>
      </w:r>
    </w:p>
    <w:p w14:paraId="35F3C639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Ova aktivnost financira se iz vlastitih sredstava.</w:t>
      </w:r>
    </w:p>
    <w:p w14:paraId="64083E50" w14:textId="77777777" w:rsidR="00CA7CC9" w:rsidRDefault="00815449">
      <w:pPr>
        <w:spacing w:line="240" w:lineRule="auto"/>
      </w:pPr>
      <w:r>
        <w:rPr>
          <w:rFonts w:ascii="Calibri" w:hAnsi="Calibri" w:cs="Calibri"/>
          <w:b/>
        </w:rPr>
        <w:br/>
        <w:t>K500000 OPREMANJE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CA7CC9" w14:paraId="519E710F" w14:textId="77777777">
        <w:tc>
          <w:tcPr>
            <w:tcW w:w="980" w:type="pct"/>
            <w:shd w:val="clear" w:color="auto" w:fill="BCDFFB"/>
            <w:vAlign w:val="center"/>
          </w:tcPr>
          <w:p w14:paraId="2B4B7973" w14:textId="77777777" w:rsidR="00CA7CC9" w:rsidRDefault="00CA7CC9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14:paraId="097F0A52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69BBA196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5E32E15D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60FC9FE0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14:paraId="568E2E3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278FC5A7" w14:textId="77777777" w:rsidR="00CA7CC9" w:rsidRDefault="0081544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CA7CC9" w14:paraId="147A7466" w14:textId="77777777">
        <w:tc>
          <w:tcPr>
            <w:tcW w:w="980" w:type="pct"/>
            <w:vAlign w:val="center"/>
          </w:tcPr>
          <w:p w14:paraId="46641AAD" w14:textId="77777777" w:rsidR="00CA7CC9" w:rsidRDefault="00815449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K500000</w:t>
            </w:r>
          </w:p>
        </w:tc>
        <w:tc>
          <w:tcPr>
            <w:tcW w:w="690" w:type="pct"/>
            <w:vAlign w:val="bottom"/>
          </w:tcPr>
          <w:p w14:paraId="09602A9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120.325</w:t>
            </w:r>
          </w:p>
        </w:tc>
        <w:tc>
          <w:tcPr>
            <w:tcW w:w="690" w:type="pct"/>
            <w:vAlign w:val="bottom"/>
          </w:tcPr>
          <w:p w14:paraId="494F21EC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216.400</w:t>
            </w:r>
          </w:p>
        </w:tc>
        <w:tc>
          <w:tcPr>
            <w:tcW w:w="690" w:type="pct"/>
            <w:vAlign w:val="bottom"/>
          </w:tcPr>
          <w:p w14:paraId="7BD53B9D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216.000</w:t>
            </w:r>
          </w:p>
        </w:tc>
        <w:tc>
          <w:tcPr>
            <w:tcW w:w="690" w:type="pct"/>
            <w:vAlign w:val="bottom"/>
          </w:tcPr>
          <w:p w14:paraId="3E5CF0EB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256.000</w:t>
            </w:r>
          </w:p>
        </w:tc>
        <w:tc>
          <w:tcPr>
            <w:tcW w:w="690" w:type="pct"/>
            <w:vAlign w:val="bottom"/>
          </w:tcPr>
          <w:p w14:paraId="0E933D04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216.000</w:t>
            </w:r>
          </w:p>
        </w:tc>
        <w:tc>
          <w:tcPr>
            <w:tcW w:w="400" w:type="pct"/>
            <w:vAlign w:val="bottom"/>
          </w:tcPr>
          <w:p w14:paraId="41988D88" w14:textId="77777777" w:rsidR="00CA7CC9" w:rsidRDefault="00815449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99,8</w:t>
            </w:r>
          </w:p>
        </w:tc>
      </w:tr>
    </w:tbl>
    <w:p w14:paraId="38D0264D" w14:textId="77777777" w:rsidR="00CA7CC9" w:rsidRDefault="00CA7CC9">
      <w:pPr>
        <w:spacing w:after="0" w:line="240" w:lineRule="auto"/>
      </w:pPr>
    </w:p>
    <w:p w14:paraId="245A291F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 xml:space="preserve">Rashodi za opremanje u 2024. godini planirani su u iznosu od 216.000 eura te su neznatno manji za iznos od 400 eura, tj. za 0,18% u odnosu na planirane rashode za opremanje za 2023. godinu. </w:t>
      </w:r>
    </w:p>
    <w:p w14:paraId="31E8593D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 xml:space="preserve">Aktivnost se odnosi na rashode za nabavu </w:t>
      </w:r>
      <w:proofErr w:type="spellStart"/>
      <w:r>
        <w:rPr>
          <w:rFonts w:ascii="Calibri" w:hAnsi="Calibri" w:cs="Calibri"/>
        </w:rPr>
        <w:t>neproizvedene</w:t>
      </w:r>
      <w:proofErr w:type="spellEnd"/>
      <w:r>
        <w:rPr>
          <w:rFonts w:ascii="Calibri" w:hAnsi="Calibri" w:cs="Calibri"/>
        </w:rPr>
        <w:t xml:space="preserve"> dugotrajne imovine te na rashode za nabavu proizvedene dugotrajne imovine, sve sa ciljem obavljanja redovne djelatnosti Centra, a od ukupno planiranih sredstava za 2024. godinu</w:t>
      </w:r>
    </w:p>
    <w:p w14:paraId="39B43DDF" w14:textId="77777777" w:rsidR="00CA7CC9" w:rsidRDefault="00815449">
      <w:pPr>
        <w:numPr>
          <w:ilvl w:val="0"/>
          <w:numId w:val="10"/>
        </w:numPr>
        <w:spacing w:line="240" w:lineRule="auto"/>
        <w:jc w:val="both"/>
      </w:pPr>
      <w:r>
        <w:rPr>
          <w:rFonts w:ascii="Calibri" w:hAnsi="Calibri" w:cs="Calibri"/>
        </w:rPr>
        <w:t xml:space="preserve">13,89% sredstava planirano je za rashode za nabavu </w:t>
      </w:r>
      <w:proofErr w:type="spellStart"/>
      <w:r>
        <w:rPr>
          <w:rFonts w:ascii="Calibri" w:hAnsi="Calibri" w:cs="Calibri"/>
        </w:rPr>
        <w:t>neproizvedene</w:t>
      </w:r>
      <w:proofErr w:type="spellEnd"/>
      <w:r>
        <w:rPr>
          <w:rFonts w:ascii="Calibri" w:hAnsi="Calibri" w:cs="Calibri"/>
        </w:rPr>
        <w:t xml:space="preserve"> dugotrajne imovine odnosno za obnovu ili kupnju licenci,  </w:t>
      </w:r>
    </w:p>
    <w:p w14:paraId="52B65D24" w14:textId="77777777" w:rsidR="00CA7CC9" w:rsidRDefault="00815449">
      <w:pPr>
        <w:numPr>
          <w:ilvl w:val="0"/>
          <w:numId w:val="10"/>
        </w:numPr>
        <w:spacing w:line="240" w:lineRule="auto"/>
        <w:jc w:val="both"/>
      </w:pPr>
      <w:r>
        <w:rPr>
          <w:rFonts w:ascii="Calibri" w:hAnsi="Calibri" w:cs="Calibri"/>
        </w:rPr>
        <w:lastRenderedPageBreak/>
        <w:t>86,11% sredstava planirano je za nabavu računala i računalne opreme, uredske opreme i namještaja, komunikacijske opreme, oprema za održavanje i zaštitu te na nabavu uređaja, strojeva i opreme za ostale namjene, kao i ulaganja u računalne programe.</w:t>
      </w:r>
    </w:p>
    <w:p w14:paraId="392012B5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Rashodi za opremanje u 2025. i 2026. godini planirani su u istom ili sličnom omjeru (± 20%) kao i za 2024. godinu.</w:t>
      </w:r>
    </w:p>
    <w:p w14:paraId="1E7A816C" w14:textId="77777777" w:rsidR="00CA7CC9" w:rsidRDefault="00815449">
      <w:pPr>
        <w:spacing w:line="240" w:lineRule="auto"/>
        <w:jc w:val="both"/>
      </w:pPr>
      <w:r>
        <w:rPr>
          <w:rFonts w:ascii="Calibri" w:hAnsi="Calibri" w:cs="Calibri"/>
        </w:rPr>
        <w:t>Ova aktivnost financira se iz vlastitih sredstava.</w:t>
      </w:r>
    </w:p>
    <w:sectPr w:rsidR="00CA7CC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C63F" w14:textId="77777777" w:rsidR="00815449" w:rsidRDefault="00815449">
      <w:pPr>
        <w:spacing w:after="0" w:line="240" w:lineRule="auto"/>
      </w:pPr>
      <w:r>
        <w:separator/>
      </w:r>
    </w:p>
  </w:endnote>
  <w:endnote w:type="continuationSeparator" w:id="0">
    <w:p w14:paraId="5E6315B6" w14:textId="77777777" w:rsidR="00815449" w:rsidRDefault="008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7702" w14:textId="77777777" w:rsidR="00CA7CC9" w:rsidRDefault="00815449">
    <w:pPr>
      <w:jc w:val="right"/>
    </w:pPr>
    <w:r>
      <w:fldChar w:fldCharType="begin"/>
    </w:r>
    <w:r>
      <w:instrText>Page</w:instrText>
    </w:r>
    <w:r>
      <w:fldChar w:fldCharType="separate"/>
    </w:r>
    <w:r w:rsidR="008B393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A90E" w14:textId="77777777" w:rsidR="00815449" w:rsidRDefault="0081544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5B14" w14:textId="77777777" w:rsidR="00815449" w:rsidRDefault="00815449">
      <w:pPr>
        <w:spacing w:after="0" w:line="240" w:lineRule="auto"/>
      </w:pPr>
      <w:r>
        <w:separator/>
      </w:r>
    </w:p>
  </w:footnote>
  <w:footnote w:type="continuationSeparator" w:id="0">
    <w:p w14:paraId="5FF9C93B" w14:textId="77777777" w:rsidR="00815449" w:rsidRDefault="0081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AEB"/>
    <w:multiLevelType w:val="singleLevel"/>
    <w:tmpl w:val="4F82C222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13CB1816"/>
    <w:multiLevelType w:val="singleLevel"/>
    <w:tmpl w:val="6BAC2EFA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1D5D416E"/>
    <w:multiLevelType w:val="singleLevel"/>
    <w:tmpl w:val="CC9048E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3A771C96"/>
    <w:multiLevelType w:val="singleLevel"/>
    <w:tmpl w:val="A8043BA2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44E71199"/>
    <w:multiLevelType w:val="singleLevel"/>
    <w:tmpl w:val="8938B81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5" w15:restartNumberingAfterBreak="0">
    <w:nsid w:val="4A4630C1"/>
    <w:multiLevelType w:val="singleLevel"/>
    <w:tmpl w:val="26620042"/>
    <w:name w:val="decimal-heading-multi"/>
    <w:lvl w:ilvl="0">
      <w:start w:val="1"/>
      <w:numFmt w:val="decimal"/>
      <w:lvlText w:val="%1."/>
      <w:lvlJc w:val="left"/>
    </w:lvl>
  </w:abstractNum>
  <w:abstractNum w:abstractNumId="6" w15:restartNumberingAfterBreak="0">
    <w:nsid w:val="675D25C1"/>
    <w:multiLevelType w:val="singleLevel"/>
    <w:tmpl w:val="48AC651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6D367757"/>
    <w:multiLevelType w:val="singleLevel"/>
    <w:tmpl w:val="0F56DDA8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8" w15:restartNumberingAfterBreak="0">
    <w:nsid w:val="7EC928FB"/>
    <w:multiLevelType w:val="singleLevel"/>
    <w:tmpl w:val="D7544284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 w16cid:durableId="2107535380">
    <w:abstractNumId w:val="1"/>
    <w:lvlOverride w:ilvl="0">
      <w:startOverride w:val="1"/>
    </w:lvlOverride>
  </w:num>
  <w:num w:numId="2" w16cid:durableId="1292632785">
    <w:abstractNumId w:val="1"/>
    <w:lvlOverride w:ilvl="0">
      <w:startOverride w:val="1"/>
    </w:lvlOverride>
  </w:num>
  <w:num w:numId="3" w16cid:durableId="1033384454">
    <w:abstractNumId w:val="1"/>
    <w:lvlOverride w:ilvl="0">
      <w:startOverride w:val="1"/>
    </w:lvlOverride>
  </w:num>
  <w:num w:numId="4" w16cid:durableId="1566526225">
    <w:abstractNumId w:val="1"/>
    <w:lvlOverride w:ilvl="0">
      <w:startOverride w:val="1"/>
    </w:lvlOverride>
  </w:num>
  <w:num w:numId="5" w16cid:durableId="1769036660">
    <w:abstractNumId w:val="1"/>
    <w:lvlOverride w:ilvl="0">
      <w:startOverride w:val="1"/>
    </w:lvlOverride>
  </w:num>
  <w:num w:numId="6" w16cid:durableId="1928995809">
    <w:abstractNumId w:val="1"/>
    <w:lvlOverride w:ilvl="0">
      <w:startOverride w:val="1"/>
    </w:lvlOverride>
  </w:num>
  <w:num w:numId="7" w16cid:durableId="1657878236">
    <w:abstractNumId w:val="1"/>
    <w:lvlOverride w:ilvl="0">
      <w:startOverride w:val="1"/>
    </w:lvlOverride>
  </w:num>
  <w:num w:numId="8" w16cid:durableId="683632567">
    <w:abstractNumId w:val="1"/>
    <w:lvlOverride w:ilvl="0">
      <w:startOverride w:val="1"/>
    </w:lvlOverride>
  </w:num>
  <w:num w:numId="9" w16cid:durableId="1758668171">
    <w:abstractNumId w:val="1"/>
    <w:lvlOverride w:ilvl="0">
      <w:startOverride w:val="1"/>
    </w:lvlOverride>
  </w:num>
  <w:num w:numId="10" w16cid:durableId="207154074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9"/>
    <w:rsid w:val="000173FE"/>
    <w:rsid w:val="00815449"/>
    <w:rsid w:val="008B3932"/>
    <w:rsid w:val="00C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04C"/>
  <w15:docId w15:val="{AB659C12-E26A-41EC-9E0C-3ABB83C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2493</Words>
  <Characters>14211</Characters>
  <Application>Microsoft Office Word</Application>
  <DocSecurity>4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TKRAJINOVIC</dc:creator>
  <cp:lastModifiedBy>Tomislav Krajinović</cp:lastModifiedBy>
  <cp:revision>2</cp:revision>
  <dcterms:created xsi:type="dcterms:W3CDTF">2023-12-21T12:07:00Z</dcterms:created>
  <dcterms:modified xsi:type="dcterms:W3CDTF">2023-12-21T12:07:00Z</dcterms:modified>
</cp:coreProperties>
</file>